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rFonts w:ascii="Arial" w:hAnsi="Arial" w:cs="Arial"/>
          <w:b/>
          <w:b/>
          <w:bCs/>
          <w:sz w:val="20"/>
          <w:szCs w:val="20"/>
        </w:rPr>
      </w:pPr>
      <w:r>
        <w:rPr>
          <w:rFonts w:cs="Arial" w:ascii="Arial" w:hAnsi="Arial"/>
          <w:b/>
          <w:bCs/>
          <w:sz w:val="20"/>
          <w:szCs w:val="20"/>
        </w:rPr>
        <w:t>PRESTAÇÃO DE SERVIÇOS SEM DEDICAÇÃO EXCLUSIVA DE MÃO DE OBRA</w:t>
      </w:r>
    </w:p>
    <w:p>
      <w:pPr>
        <w:pStyle w:val="Normal"/>
        <w:spacing w:lineRule="auto" w:line="276" w:before="0" w:after="0"/>
        <w:jc w:val="center"/>
        <w:rPr>
          <w:rFonts w:ascii="Arial" w:hAnsi="Arial" w:cs="Arial"/>
          <w:b/>
          <w:b/>
          <w:bCs/>
          <w:iCs/>
          <w:color w:val="FF0000"/>
          <w:sz w:val="20"/>
          <w:szCs w:val="20"/>
        </w:rPr>
      </w:pPr>
      <w:r>
        <w:rPr>
          <w:rFonts w:cs="Arial" w:ascii="Arial" w:hAnsi="Arial"/>
          <w:b/>
          <w:bCs/>
          <w:iCs/>
          <w:color w:val="FF0000"/>
          <w:sz w:val="20"/>
          <w:szCs w:val="20"/>
        </w:rPr>
      </w:r>
    </w:p>
    <w:p>
      <w:pPr>
        <w:pStyle w:val="Normal"/>
        <w:rPr>
          <w:rFonts w:ascii="Arial" w:hAnsi="Arial" w:cs="Arial"/>
          <w:sz w:val="20"/>
          <w:szCs w:val="20"/>
        </w:rPr>
      </w:pPr>
      <w:r>
        <w:rPr>
          <w:rFonts w:cs="Arial" w:ascii="Arial" w:hAnsi="Arial"/>
          <w:sz w:val="20"/>
          <w:szCs w:val="20"/>
        </w:rPr>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sz w:val="20"/>
          <w:szCs w:val="20"/>
        </w:rPr>
        <w:t xml:space="preserve">CONTRATO ADMINISTRATIVO Nº </w:t>
      </w:r>
      <w:r>
        <w:rPr>
          <w:rFonts w:cs="Arial" w:ascii="Arial" w:hAnsi="Arial"/>
          <w:b/>
          <w:color w:val="FF0000"/>
          <w:sz w:val="20"/>
          <w:szCs w:val="20"/>
        </w:rPr>
        <w:t>......../....</w:t>
      </w:r>
      <w:r>
        <w:rPr>
          <w:rFonts w:cs="Arial" w:ascii="Arial" w:hAnsi="Arial"/>
          <w:b/>
          <w:sz w:val="20"/>
          <w:szCs w:val="20"/>
        </w:rPr>
        <w:t xml:space="preserve">, QUE FAZEM ENTRE SI A UNIÃO, POR INTERMÉDIO DA ESCOLA DE SARGENTO DAS ARMAS E A EMPRESA </w:t>
      </w:r>
      <w:r>
        <w:rPr>
          <w:rFonts w:cs="Arial" w:ascii="Arial" w:hAnsi="Arial"/>
          <w:b/>
          <w:color w:val="FF0000"/>
          <w:sz w:val="20"/>
          <w:szCs w:val="20"/>
        </w:rPr>
        <w:t xml:space="preserve">.............................................................  </w:t>
      </w:r>
    </w:p>
    <w:p>
      <w:pPr>
        <w:pStyle w:val="Normal"/>
        <w:spacing w:lineRule="auto" w:line="276" w:before="120" w:after="120"/>
        <w:jc w:val="both"/>
        <w:rPr>
          <w:rFonts w:ascii="Arial" w:hAnsi="Arial" w:cs="Arial"/>
          <w:sz w:val="20"/>
          <w:szCs w:val="20"/>
        </w:rPr>
      </w:pPr>
      <w:r>
        <w:rPr>
          <w:rFonts w:cs="Arial" w:ascii="Arial" w:hAnsi="Arial"/>
          <w:i/>
          <w:iCs/>
          <w:color w:val="000000"/>
          <w:sz w:val="20"/>
          <w:szCs w:val="20"/>
        </w:rPr>
        <w:t xml:space="preserve">A União </w:t>
      </w:r>
      <w:r>
        <w:rPr>
          <w:rFonts w:cs="Arial" w:ascii="Arial" w:hAnsi="Arial"/>
          <w:color w:val="000000"/>
          <w:sz w:val="20"/>
          <w:szCs w:val="20"/>
        </w:rPr>
        <w:t xml:space="preserve"> por intermédio da Escola de Sargento das Armas, com sede na Av Sete de Setembro, na cidade de Três Corações</w:t>
      </w:r>
      <w:r>
        <w:rPr>
          <w:rFonts w:cs="Arial" w:ascii="Arial" w:hAnsi="Arial"/>
          <w:sz w:val="20"/>
          <w:szCs w:val="20"/>
        </w:rPr>
        <w:t xml:space="preserve">/Estado MG, inscrito(a) no CNPJ sob o nº </w:t>
      </w:r>
      <w:r>
        <w:rPr>
          <w:rFonts w:cs="Arial" w:ascii="Arial" w:hAnsi="Arial"/>
          <w:color w:val="000000"/>
          <w:sz w:val="20"/>
          <w:szCs w:val="20"/>
        </w:rPr>
        <w:t>09.575.541/0002-01,</w:t>
      </w:r>
      <w:r>
        <w:rPr>
          <w:rFonts w:cs="Arial" w:ascii="Arial" w:hAnsi="Arial"/>
          <w:sz w:val="20"/>
          <w:szCs w:val="20"/>
        </w:rPr>
        <w:t xml:space="preserve"> neste ato representado pelo </w:t>
      </w:r>
      <w:r>
        <w:rPr>
          <w:rFonts w:cs="Arial" w:ascii="Arial" w:hAnsi="Arial"/>
          <w:color w:val="FF0000"/>
          <w:sz w:val="20"/>
          <w:szCs w:val="20"/>
        </w:rPr>
        <w:t xml:space="preserve">......................... </w:t>
      </w:r>
      <w:r>
        <w:rPr>
          <w:rFonts w:cs="Arial" w:ascii="Arial" w:hAnsi="Arial"/>
          <w:iCs/>
          <w:color w:val="FF0000"/>
          <w:sz w:val="20"/>
          <w:szCs w:val="20"/>
        </w:rPr>
        <w:t>(</w:t>
      </w:r>
      <w:r>
        <w:rPr>
          <w:rFonts w:cs="Arial" w:ascii="Arial" w:hAnsi="Arial"/>
          <w:i/>
          <w:iCs/>
          <w:color w:val="FF0000"/>
          <w:sz w:val="20"/>
          <w:szCs w:val="20"/>
        </w:rPr>
        <w:t>cargo e nome</w:t>
      </w:r>
      <w:r>
        <w:rPr>
          <w:rFonts w:cs="Arial" w:ascii="Arial" w:hAnsi="Arial"/>
          <w:iCs/>
          <w:color w:val="FF0000"/>
          <w:sz w:val="20"/>
          <w:szCs w:val="20"/>
        </w:rPr>
        <w:t>)</w:t>
      </w:r>
      <w:r>
        <w:rPr>
          <w:rFonts w:cs="Arial" w:ascii="Arial" w:hAnsi="Arial"/>
          <w:sz w:val="20"/>
          <w:szCs w:val="20"/>
        </w:rPr>
        <w:t xml:space="preserve">, nomeado(a) pela Portaria nº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20</w:t>
      </w:r>
      <w:r>
        <w:rPr>
          <w:rFonts w:cs="Arial" w:ascii="Arial" w:hAnsi="Arial"/>
          <w:color w:val="FF0000"/>
          <w:sz w:val="20"/>
          <w:szCs w:val="20"/>
        </w:rPr>
        <w:t>...</w:t>
      </w:r>
      <w:r>
        <w:rPr>
          <w:rFonts w:cs="Arial" w:ascii="Arial" w:hAnsi="Arial"/>
          <w:sz w:val="20"/>
          <w:szCs w:val="20"/>
        </w:rPr>
        <w:t>, 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 xml:space="preserve">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portador da Matrícula Funcional nº .........., doravante denominado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designado CONTRATADO, neste ato representada por .................................. </w:t>
      </w:r>
      <w:r>
        <w:rPr>
          <w:rFonts w:cs="Arial" w:ascii="Arial" w:hAnsi="Arial"/>
          <w:color w:val="FF0000"/>
          <w:sz w:val="20"/>
          <w:szCs w:val="20"/>
        </w:rPr>
        <w:t>(nome e função no contratado)</w:t>
      </w:r>
      <w:r>
        <w:rPr>
          <w:rFonts w:cs="Arial" w:ascii="Arial" w:hAnsi="Arial"/>
          <w:sz w:val="20"/>
          <w:szCs w:val="20"/>
        </w:rPr>
        <w:t xml:space="preserve">, </w:t>
      </w:r>
      <w:r>
        <w:rPr>
          <w:rFonts w:cs="Arial" w:ascii="Arial" w:hAnsi="Arial"/>
          <w:i/>
          <w:color w:val="FF0000"/>
          <w:sz w:val="20"/>
          <w:szCs w:val="20"/>
        </w:rPr>
        <w:t xml:space="preserve">conforme atos constitutivos da empresa </w:t>
      </w:r>
      <w:r>
        <w:rPr>
          <w:rFonts w:cs="Arial" w:ascii="Arial" w:hAnsi="Arial"/>
          <w:b/>
          <w:i/>
          <w:color w:val="FF0000"/>
          <w:sz w:val="20"/>
          <w:szCs w:val="20"/>
        </w:rPr>
        <w:t>OU</w:t>
      </w:r>
      <w:r>
        <w:rPr>
          <w:rFonts w:cs="Arial" w:ascii="Arial" w:hAnsi="Arial"/>
          <w:i/>
          <w:color w:val="FF0000"/>
          <w:sz w:val="20"/>
          <w:szCs w:val="20"/>
        </w:rPr>
        <w:t xml:space="preserve"> procuração apresentada nos autos, </w:t>
      </w:r>
      <w:r>
        <w:rPr>
          <w:rFonts w:cs="Arial" w:ascii="Arial" w:hAnsi="Arial"/>
          <w:sz w:val="20"/>
          <w:szCs w:val="20"/>
        </w:rPr>
        <w:t xml:space="preserve">tendo em vista o que consta no Processo nº </w:t>
      </w:r>
      <w:r>
        <w:rPr>
          <w:rFonts w:cs="Arial" w:ascii="Arial" w:hAnsi="Arial"/>
          <w:color w:val="FF0000"/>
          <w:sz w:val="20"/>
          <w:szCs w:val="20"/>
        </w:rPr>
        <w:t xml:space="preserve">.............................. </w:t>
      </w:r>
      <w:r>
        <w:rPr>
          <w:rFonts w:cs="Arial" w:ascii="Arial" w:hAnsi="Arial"/>
          <w:sz w:val="20"/>
          <w:szCs w:val="20"/>
        </w:rPr>
        <w:t xml:space="preserve">e em observância às disposições da Lei nº 14.133, de 2021 e da Instrução Normativa SEGES/ME nº 75, de 2021, resolvem celebrar o presente Termo de Contrato, decorrente </w:t>
      </w:r>
      <w:r>
        <w:rPr>
          <w:rFonts w:cs="Arial" w:ascii="Arial" w:hAnsi="Arial"/>
          <w:i/>
          <w:iCs/>
          <w:color w:val="000000"/>
          <w:sz w:val="20"/>
          <w:szCs w:val="20"/>
        </w:rPr>
        <w:t>da Dispensa de Licitação n.17</w:t>
      </w:r>
      <w:r>
        <w:rPr>
          <w:rFonts w:cs="Arial" w:ascii="Arial" w:hAnsi="Arial"/>
          <w:i/>
          <w:iCs/>
          <w:color w:val="000000"/>
          <w:sz w:val="20"/>
          <w:szCs w:val="20"/>
        </w:rPr>
        <w:t>9</w:t>
      </w:r>
      <w:r>
        <w:rPr>
          <w:rFonts w:cs="Arial" w:ascii="Arial" w:hAnsi="Arial"/>
          <w:i/>
          <w:iCs/>
          <w:color w:val="000000"/>
          <w:sz w:val="20"/>
          <w:szCs w:val="20"/>
        </w:rPr>
        <w:t>/2022</w:t>
      </w:r>
      <w:r>
        <w:rPr>
          <w:rFonts w:cs="Arial" w:ascii="Arial" w:hAnsi="Arial"/>
          <w:color w:val="000000"/>
          <w:sz w:val="20"/>
          <w:szCs w:val="20"/>
        </w:rPr>
        <w:t>,</w:t>
      </w:r>
      <w:r>
        <w:rPr>
          <w:rFonts w:cs="Arial" w:ascii="Arial" w:hAnsi="Arial"/>
          <w:sz w:val="20"/>
          <w:szCs w:val="20"/>
        </w:rPr>
        <w:t xml:space="preserve"> mediante as cláusulas e condições a seguir enunciadas.</w:t>
      </w:r>
    </w:p>
    <w:p>
      <w:pPr>
        <w:pStyle w:val="Nivel01Titulo"/>
        <w:numPr>
          <w:ilvl w:val="0"/>
          <w:numId w:val="2"/>
        </w:numPr>
        <w:rPr>
          <w:rFonts w:cs="Arial"/>
        </w:rPr>
      </w:pPr>
      <w:r>
        <w:rPr>
          <w:rFonts w:cs="Arial"/>
        </w:rPr>
        <w:t>CLÁUSULA PRIMEIRA – OBJETO (art. 92, I e II)</w:t>
      </w:r>
    </w:p>
    <w:p>
      <w:pPr>
        <w:pStyle w:val="Normal"/>
        <w:numPr>
          <w:ilvl w:val="1"/>
          <w:numId w:val="2"/>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O objeto do presente instrumento é a contratação de DOSIMETRIA, nas condições estabelecidas no Termo de Referência.</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Objeto da contratação:</w:t>
      </w:r>
    </w:p>
    <w:tbl>
      <w:tblPr>
        <w:tblW w:w="9498"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707"/>
        <w:gridCol w:w="2553"/>
        <w:gridCol w:w="1277"/>
        <w:gridCol w:w="1134"/>
        <w:gridCol w:w="1184"/>
        <w:gridCol w:w="1426"/>
        <w:gridCol w:w="1216"/>
      </w:tblGrid>
      <w:tr>
        <w:trPr/>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UNIDADE DE MEDIDA</w:t>
            </w:r>
          </w:p>
        </w:tc>
        <w:tc>
          <w:tcPr>
            <w:tcW w:w="118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QTDE</w:t>
            </w:r>
          </w:p>
        </w:tc>
        <w:tc>
          <w:tcPr>
            <w:tcW w:w="142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UNITÁRIO</w:t>
            </w:r>
          </w:p>
        </w:tc>
        <w:tc>
          <w:tcPr>
            <w:tcW w:w="121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TOTAL</w:t>
            </w:r>
          </w:p>
        </w:tc>
      </w:tr>
      <w:tr>
        <w:trPr/>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napToGrid w:val="false"/>
              <w:spacing w:lineRule="auto" w:line="276" w:before="0" w:after="120"/>
              <w:jc w:val="center"/>
              <w:rPr>
                <w:rFonts w:ascii="Calibri" w:hAnsi="Calibri" w:cs="Arial"/>
                <w:color w:val="000000"/>
                <w:sz w:val="24"/>
              </w:rPr>
            </w:pPr>
            <w:r>
              <w:rPr>
                <w:rFonts w:cs="Arial"/>
                <w:color w:val="000000"/>
                <w:sz w:val="20"/>
                <w:szCs w:val="20"/>
              </w:rPr>
              <w:t>Serviço de monitoração (Dosimetria) individual externa até 05 (cinco) usuários e 2(dois) padrões.</w:t>
            </w:r>
          </w:p>
        </w:tc>
        <w:tc>
          <w:tcPr>
            <w:tcW w:w="1277" w:type="dxa"/>
            <w:tcBorders>
              <w:top w:val="single" w:sz="4" w:space="0" w:color="000000"/>
              <w:left w:val="single" w:sz="4" w:space="0" w:color="000000"/>
              <w:bottom w:val="single" w:sz="4" w:space="0" w:color="000000"/>
              <w:right w:val="single" w:sz="4" w:space="0" w:color="000000"/>
            </w:tcBorders>
          </w:tcPr>
          <w:p>
            <w:pPr>
              <w:pStyle w:val="Corpodotexto"/>
              <w:widowControl w:val="false"/>
              <w:suppressAutoHyphens w:val="true"/>
              <w:spacing w:lineRule="auto" w:line="276" w:before="0" w:after="0"/>
              <w:jc w:val="center"/>
              <w:rPr>
                <w:rFonts w:ascii="Calibri" w:hAnsi="Calibri" w:cs="Arial"/>
                <w:color w:val="000000"/>
                <w:sz w:val="20"/>
                <w:szCs w:val="20"/>
              </w:rPr>
            </w:pPr>
            <w:r>
              <w:rPr>
                <w:rFonts w:cs="Arial"/>
                <w:color w:val="000000"/>
                <w:sz w:val="20"/>
                <w:szCs w:val="20"/>
              </w:rPr>
              <w:t>15121</w:t>
            </w:r>
          </w:p>
        </w:tc>
        <w:tc>
          <w:tcPr>
            <w:tcW w:w="1134" w:type="dxa"/>
            <w:tcBorders>
              <w:top w:val="single" w:sz="4" w:space="0" w:color="000000"/>
              <w:left w:val="single" w:sz="4" w:space="0" w:color="000000"/>
              <w:bottom w:val="single" w:sz="4" w:space="0" w:color="000000"/>
              <w:right w:val="single" w:sz="4" w:space="0" w:color="000000"/>
            </w:tcBorders>
          </w:tcPr>
          <w:p>
            <w:pPr>
              <w:pStyle w:val="Corpodotexto"/>
              <w:widowControl w:val="false"/>
              <w:suppressAutoHyphens w:val="true"/>
              <w:spacing w:lineRule="auto" w:line="276" w:before="0" w:after="0"/>
              <w:jc w:val="center"/>
              <w:rPr>
                <w:rFonts w:ascii="Calibri" w:hAnsi="Calibri" w:cs="Arial"/>
                <w:color w:val="000000"/>
                <w:sz w:val="20"/>
                <w:szCs w:val="20"/>
              </w:rPr>
            </w:pPr>
            <w:r>
              <w:rPr>
                <w:rFonts w:cs="Arial"/>
                <w:color w:val="000000"/>
                <w:sz w:val="20"/>
                <w:szCs w:val="20"/>
              </w:rPr>
              <w:t>Sv</w:t>
            </w:r>
          </w:p>
        </w:tc>
        <w:tc>
          <w:tcPr>
            <w:tcW w:w="1184" w:type="dxa"/>
            <w:tcBorders>
              <w:top w:val="single" w:sz="4" w:space="0" w:color="000000"/>
              <w:left w:val="single" w:sz="4" w:space="0" w:color="000000"/>
              <w:bottom w:val="single" w:sz="4" w:space="0" w:color="000000"/>
              <w:right w:val="single" w:sz="4" w:space="0" w:color="000000"/>
            </w:tcBorders>
          </w:tcPr>
          <w:p>
            <w:pPr>
              <w:pStyle w:val="Corpodotexto"/>
              <w:widowControl w:val="false"/>
              <w:suppressAutoHyphens w:val="true"/>
              <w:spacing w:lineRule="auto" w:line="276" w:before="0" w:after="0"/>
              <w:jc w:val="center"/>
              <w:rPr>
                <w:rFonts w:ascii="Calibri" w:hAnsi="Calibri" w:cs="Arial"/>
                <w:color w:val="000000"/>
                <w:sz w:val="20"/>
                <w:szCs w:val="20"/>
              </w:rPr>
            </w:pPr>
            <w:r>
              <w:rPr>
                <w:rFonts w:cs="Arial"/>
                <w:color w:val="000000"/>
                <w:sz w:val="20"/>
                <w:szCs w:val="20"/>
              </w:rPr>
              <w:t>12</w:t>
            </w:r>
          </w:p>
        </w:tc>
        <w:tc>
          <w:tcPr>
            <w:tcW w:w="1426" w:type="dxa"/>
            <w:tcBorders>
              <w:top w:val="single" w:sz="4" w:space="0" w:color="000000"/>
              <w:left w:val="single" w:sz="4" w:space="0" w:color="000000"/>
              <w:bottom w:val="single" w:sz="4" w:space="0" w:color="000000"/>
              <w:right w:val="single" w:sz="4" w:space="0" w:color="000000"/>
            </w:tcBorders>
          </w:tcPr>
          <w:p>
            <w:pPr>
              <w:pStyle w:val="Contedodatabela"/>
              <w:widowControl w:val="false"/>
              <w:suppressAutoHyphens w:val="true"/>
              <w:snapToGrid w:val="false"/>
              <w:spacing w:lineRule="auto" w:line="276" w:before="0" w:after="120"/>
              <w:jc w:val="center"/>
              <w:rPr>
                <w:rFonts w:ascii="Calibri" w:hAnsi="Calibri" w:cs="Arial"/>
                <w:color w:val="000000"/>
                <w:sz w:val="24"/>
              </w:rPr>
            </w:pPr>
            <w:r>
              <w:rPr>
                <w:rFonts w:cs="Arial"/>
                <w:color w:val="000000"/>
                <w:sz w:val="20"/>
                <w:szCs w:val="20"/>
              </w:rPr>
              <w:t>R$ 134,52</w:t>
            </w:r>
          </w:p>
        </w:tc>
        <w:tc>
          <w:tcPr>
            <w:tcW w:w="1216" w:type="dxa"/>
            <w:tcBorders>
              <w:top w:val="single" w:sz="4" w:space="0" w:color="000000"/>
              <w:left w:val="single" w:sz="4" w:space="0" w:color="000000"/>
              <w:bottom w:val="single" w:sz="4" w:space="0" w:color="000000"/>
              <w:right w:val="single" w:sz="4" w:space="0" w:color="000000"/>
            </w:tcBorders>
          </w:tcPr>
          <w:p>
            <w:pPr>
              <w:pStyle w:val="Contedodatabela"/>
              <w:widowControl w:val="false"/>
              <w:suppressAutoHyphens w:val="true"/>
              <w:snapToGrid w:val="false"/>
              <w:spacing w:lineRule="auto" w:line="276" w:before="0" w:after="120"/>
              <w:jc w:val="center"/>
              <w:rPr>
                <w:rFonts w:cs="Arial"/>
                <w:color w:val="000000"/>
                <w:sz w:val="24"/>
              </w:rPr>
            </w:pPr>
            <w:r>
              <w:rPr>
                <w:rStyle w:val="Fontepargpadro"/>
                <w:rFonts w:eastAsia="Times New Roman" w:cs="Times New Roman"/>
                <w:b/>
                <w:bCs/>
                <w:color w:val="000000"/>
                <w:sz w:val="20"/>
                <w:szCs w:val="20"/>
              </w:rPr>
              <w:t>R$ 1.614,24</w:t>
            </w:r>
          </w:p>
        </w:tc>
      </w:tr>
    </w:tbl>
    <w:p>
      <w:pPr>
        <w:pStyle w:val="Normal"/>
        <w:spacing w:lineRule="auto" w:line="276" w:before="0" w:after="120"/>
        <w:jc w:val="both"/>
        <w:rPr>
          <w:rFonts w:ascii="Arial" w:hAnsi="Arial" w:cs="Arial"/>
          <w:color w:val="FF0000"/>
          <w:sz w:val="20"/>
          <w:szCs w:val="20"/>
        </w:rPr>
      </w:pPr>
      <w:r>
        <w:rPr>
          <w:rFonts w:cs="Arial" w:ascii="Arial" w:hAnsi="Arial"/>
          <w:color w:val="FF0000"/>
          <w:sz w:val="20"/>
          <w:szCs w:val="20"/>
        </w:rPr>
      </w:r>
    </w:p>
    <w:p>
      <w:pPr>
        <w:pStyle w:val="Normal"/>
        <w:numPr>
          <w:ilvl w:val="1"/>
          <w:numId w:val="2"/>
        </w:numPr>
        <w:spacing w:lineRule="auto" w:line="276" w:before="120" w:after="120"/>
        <w:ind w:left="425" w:hanging="0"/>
        <w:jc w:val="both"/>
        <w:rPr>
          <w:rFonts w:ascii="Arial" w:hAnsi="Arial" w:cs="Arial"/>
          <w:sz w:val="20"/>
          <w:szCs w:val="20"/>
          <w:lang w:val="x-none"/>
        </w:rPr>
      </w:pPr>
      <w:r>
        <w:rPr>
          <w:rFonts w:cs="Arial" w:ascii="Arial" w:hAnsi="Arial"/>
          <w:sz w:val="20"/>
          <w:szCs w:val="20"/>
        </w:rPr>
        <w:t>São anexos a este instrumento e vinculam esta contratação, independentemente de transcrição:</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 xml:space="preserve">O Edital de Licitação, a Autorização de Contratação Direta e/ou o Aviso de Dispensa Eletrônica, caso existentes; </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A Proposta do Contratado; e</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2"/>
        </w:numPr>
        <w:rPr>
          <w:rFonts w:cs="Arial"/>
        </w:rPr>
      </w:pPr>
      <w:r>
        <w:rPr>
          <w:rFonts w:cs="Arial"/>
        </w:rPr>
        <w:t>CLÁUSULA SEGUNDA – VIGÊNCIA E PRORROGAÇÃO.</w:t>
      </w:r>
    </w:p>
    <w:p>
      <w:pPr>
        <w:pStyle w:val="Normal"/>
        <w:numPr>
          <w:ilvl w:val="1"/>
          <w:numId w:val="2"/>
        </w:numPr>
        <w:spacing w:lineRule="auto" w:line="276" w:before="120" w:after="120"/>
        <w:ind w:left="425" w:hanging="0"/>
        <w:jc w:val="both"/>
        <w:rPr>
          <w:color w:val="000000"/>
        </w:rPr>
      </w:pPr>
      <w:r>
        <w:rPr>
          <w:rFonts w:cs="Arial" w:ascii="Arial" w:hAnsi="Arial"/>
          <w:bCs/>
          <w:i/>
          <w:color w:val="000000"/>
          <w:sz w:val="20"/>
          <w:szCs w:val="20"/>
        </w:rPr>
        <w:t>O prazo de vigência da contratação é de 12 (doze) meses contados da assinatura do contrato, na forma do artigo 105 da Lei n° 14.133/2021.</w:t>
      </w:r>
    </w:p>
    <w:p>
      <w:pPr>
        <w:pStyle w:val="Normal"/>
        <w:numPr>
          <w:ilvl w:val="2"/>
          <w:numId w:val="2"/>
        </w:numPr>
        <w:spacing w:lineRule="auto" w:line="276" w:before="120" w:after="120"/>
        <w:jc w:val="both"/>
        <w:rPr>
          <w:color w:val="000000"/>
        </w:rPr>
      </w:pPr>
      <w:r>
        <w:rPr>
          <w:rFonts w:cs="Arial" w:ascii="Arial" w:hAnsi="Arial"/>
          <w:bCs/>
          <w:i/>
          <w:color w:val="000000"/>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Titulo"/>
        <w:numPr>
          <w:ilvl w:val="0"/>
          <w:numId w:val="2"/>
        </w:numPr>
        <w:rPr>
          <w:rFonts w:cs="Arial"/>
        </w:rPr>
      </w:pPr>
      <w:r>
        <w:rPr>
          <w:rFonts w:cs="Arial"/>
        </w:rPr>
        <w:t>CLÁUSULA TERCEIRA – MODELOS DE EXECUÇÃO E GESTÃO CONTRATUAIS (art. 92, IV, VII e XVIII)</w:t>
      </w:r>
    </w:p>
    <w:p>
      <w:pPr>
        <w:pStyle w:val="Normal"/>
        <w:numPr>
          <w:ilvl w:val="1"/>
          <w:numId w:val="2"/>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2"/>
        </w:numPr>
        <w:rPr>
          <w:rFonts w:cs="Arial"/>
        </w:rPr>
      </w:pPr>
      <w:r>
        <w:rPr>
          <w:rFonts w:cs="Arial"/>
        </w:rPr>
        <w:t xml:space="preserve">CLÁUSULA QUARTA - SUBCONTRATAÇÃO </w:t>
      </w:r>
    </w:p>
    <w:p>
      <w:pPr>
        <w:pStyle w:val="Normal"/>
        <w:numPr>
          <w:ilvl w:val="1"/>
          <w:numId w:val="2"/>
        </w:numPr>
        <w:spacing w:lineRule="auto" w:line="276" w:before="120" w:after="120"/>
        <w:jc w:val="both"/>
        <w:rPr>
          <w:rFonts w:ascii="Arial" w:hAnsi="Arial" w:cs="Arial"/>
          <w:i/>
          <w:i/>
          <w:color w:val="FF0000"/>
          <w:sz w:val="20"/>
          <w:szCs w:val="20"/>
        </w:rPr>
      </w:pPr>
      <w:r>
        <w:rPr>
          <w:rFonts w:cs="Arial" w:ascii="Arial" w:hAnsi="Arial"/>
          <w:i/>
          <w:color w:val="FF0000"/>
          <w:sz w:val="20"/>
          <w:szCs w:val="20"/>
        </w:rPr>
        <w:t>Não será admitida a subcontratação do objeto contratual.</w:t>
      </w:r>
    </w:p>
    <w:p>
      <w:pPr>
        <w:pStyle w:val="Nivel01Titulo"/>
        <w:numPr>
          <w:ilvl w:val="0"/>
          <w:numId w:val="2"/>
        </w:numPr>
        <w:rPr>
          <w:rFonts w:cs="Arial"/>
        </w:rPr>
      </w:pPr>
      <w:r>
        <w:rPr>
          <w:rFonts w:cs="Arial"/>
        </w:rPr>
        <w:t>CLÁUSULA QUINTA – PAGAMENTO (art. 92, V e VI)</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PREÇO</w:t>
      </w:r>
    </w:p>
    <w:p>
      <w:pPr>
        <w:pStyle w:val="Normal"/>
        <w:numPr>
          <w:ilvl w:val="2"/>
          <w:numId w:val="2"/>
        </w:numPr>
        <w:spacing w:lineRule="auto" w:line="276" w:before="120" w:after="120"/>
        <w:ind w:left="284" w:hanging="0"/>
        <w:jc w:val="both"/>
        <w:rPr>
          <w:rFonts w:ascii="Arial" w:hAnsi="Arial" w:cs="Arial"/>
          <w:i/>
          <w:i/>
          <w:color w:val="FF0000"/>
          <w:sz w:val="20"/>
          <w:szCs w:val="20"/>
        </w:rPr>
      </w:pPr>
      <w:r>
        <w:rPr>
          <w:rFonts w:cs="Arial" w:ascii="Arial" w:hAnsi="Arial"/>
          <w:i/>
          <w:color w:val="FF0000"/>
          <w:sz w:val="20"/>
          <w:szCs w:val="20"/>
        </w:rPr>
        <w:t>O valor mensal da contratação é de R$ .......... (.....), perfazendo o valor total de R$ ....... (....).</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FORMA DE PAGAMENTO</w:t>
      </w:r>
    </w:p>
    <w:p>
      <w:pPr>
        <w:pStyle w:val="Normal"/>
        <w:numPr>
          <w:ilvl w:val="2"/>
          <w:numId w:val="37"/>
        </w:numPr>
        <w:spacing w:lineRule="auto" w:line="276" w:before="120" w:after="120"/>
        <w:ind w:left="284" w:hanging="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38"/>
        </w:numPr>
        <w:spacing w:lineRule="auto" w:line="276" w:before="120" w:after="120"/>
        <w:ind w:left="284" w:hanging="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39"/>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w:t>
      </w:r>
      <w:r>
        <w:rPr>
          <w:rFonts w:eastAsia="Arial" w:cs="Arial" w:ascii="Arial" w:hAnsi="Arial"/>
          <w:color w:val="000000"/>
          <w:sz w:val="20"/>
          <w:szCs w:val="20"/>
        </w:rPr>
        <w:t>30 (trinta)</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numPr>
          <w:ilvl w:val="2"/>
          <w:numId w:val="40"/>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41"/>
        </w:numPr>
        <w:spacing w:lineRule="auto" w:line="276" w:before="120" w:after="120"/>
        <w:ind w:left="284" w:hanging="0"/>
        <w:jc w:val="both"/>
        <w:rPr>
          <w:color w:val="000000"/>
        </w:rPr>
      </w:pPr>
      <w:r>
        <w:rPr>
          <w:rFonts w:cs="Arial" w:ascii="Arial" w:hAnsi="Arial"/>
          <w:color w:val="000000" w:themeColor="text1"/>
          <w:sz w:val="20"/>
          <w:szCs w:val="20"/>
        </w:rPr>
        <w:t xml:space="preserve">No caso de atraso pelo Contratante, os valores devidos ao contratado serão atualizados monetariamente entre o termo final do prazo de pagamento até a data de sua efetiva realização, mediante aplicação do índice </w:t>
      </w:r>
      <w:r>
        <w:rPr>
          <w:rFonts w:cs="Arial" w:ascii="Arial" w:hAnsi="Arial"/>
          <w:i/>
          <w:iCs/>
          <w:color w:val="000000"/>
          <w:sz w:val="20"/>
          <w:szCs w:val="20"/>
        </w:rPr>
        <w:t>IPCA</w:t>
      </w:r>
      <w:r>
        <w:rPr>
          <w:rFonts w:cs="Arial" w:ascii="Arial" w:hAnsi="Arial"/>
          <w:color w:val="000000" w:themeColor="text1"/>
          <w:sz w:val="20"/>
          <w:szCs w:val="20"/>
        </w:rPr>
        <w:t xml:space="preserve"> de correção monetária.</w:t>
      </w:r>
    </w:p>
    <w:p>
      <w:pPr>
        <w:pStyle w:val="Normal"/>
        <w:spacing w:lineRule="auto" w:line="240" w:before="0" w:after="0"/>
        <w:ind w:left="851" w:hanging="0"/>
        <w:jc w:val="both"/>
        <w:rPr>
          <w:rFonts w:ascii="Arial" w:hAnsi="Arial" w:cs="Arial"/>
          <w:b/>
          <w:b/>
          <w:color w:val="FF0000"/>
          <w:sz w:val="20"/>
          <w:szCs w:val="20"/>
          <w:lang w:val="x-none"/>
        </w:rPr>
      </w:pPr>
      <w:r>
        <w:rPr>
          <w:rFonts w:cs="Arial" w:ascii="Arial" w:hAnsi="Arial"/>
          <w:b/>
          <w:color w:val="FF0000"/>
          <w:sz w:val="20"/>
          <w:szCs w:val="20"/>
          <w:lang w:val="x-none"/>
        </w:rPr>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42"/>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43"/>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44"/>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45"/>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Nesta hipótese, o prazo para pagamento iniciar-se-á após a comprovação da regularização da situação, não acarretando qualquer ônus para o contratante;</w:t>
      </w:r>
    </w:p>
    <w:p>
      <w:pPr>
        <w:pStyle w:val="Normal"/>
        <w:numPr>
          <w:ilvl w:val="2"/>
          <w:numId w:val="46"/>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47"/>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48"/>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49"/>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50"/>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51"/>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52"/>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53"/>
        </w:numPr>
        <w:spacing w:lineRule="auto" w:line="276" w:before="120" w:after="120"/>
        <w:jc w:val="both"/>
        <w:rPr>
          <w:rFonts w:ascii="Arial" w:hAnsi="Arial" w:cs="Arial"/>
          <w:sz w:val="20"/>
          <w:szCs w:val="20"/>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54"/>
        </w:numPr>
        <w:spacing w:lineRule="auto" w:line="276" w:before="120" w:after="120"/>
        <w:ind w:left="284" w:hanging="0"/>
        <w:jc w:val="both"/>
        <w:rPr>
          <w:rFonts w:ascii="Arial" w:hAnsi="Arial" w:cs="Arial"/>
          <w:sz w:val="20"/>
          <w:szCs w:val="20"/>
        </w:rPr>
      </w:pPr>
      <w:r>
        <w:rPr>
          <w:rFonts w:cs="Arial" w:ascii="Arial" w:hAnsi="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numPr>
          <w:ilvl w:val="1"/>
          <w:numId w:val="2"/>
        </w:numPr>
        <w:spacing w:lineRule="auto" w:line="276" w:before="120" w:after="120"/>
        <w:jc w:val="both"/>
        <w:rPr>
          <w:rFonts w:ascii="Arial" w:hAnsi="Arial" w:cs="Arial"/>
          <w:b/>
          <w:b/>
          <w:color w:val="000000"/>
          <w:sz w:val="20"/>
          <w:szCs w:val="20"/>
        </w:rPr>
      </w:pPr>
      <w:r>
        <w:rPr>
          <w:rFonts w:cs="Arial" w:ascii="Arial" w:hAnsi="Arial"/>
          <w:b/>
          <w:color w:val="000000"/>
          <w:sz w:val="20"/>
          <w:szCs w:val="20"/>
        </w:rPr>
        <w:t>Suprimido</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CESSÃO DE CRÉDITO</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numPr>
          <w:ilvl w:val="2"/>
          <w:numId w:val="55"/>
        </w:numPr>
        <w:spacing w:lineRule="auto" w:line="276" w:before="120" w:after="120"/>
        <w:ind w:left="284" w:hanging="0"/>
        <w:jc w:val="both"/>
        <w:rPr>
          <w:rFonts w:ascii="Arial" w:hAnsi="Arial" w:cs="Arial"/>
          <w:sz w:val="20"/>
          <w:szCs w:val="20"/>
        </w:rPr>
      </w:pPr>
      <w:r>
        <w:rPr>
          <w:rFonts w:cs="Arial" w:ascii="Arial" w:hAnsi="Arial"/>
          <w:sz w:val="20"/>
          <w:szCs w:val="20"/>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ormal"/>
        <w:numPr>
          <w:ilvl w:val="3"/>
          <w:numId w:val="56"/>
        </w:numPr>
        <w:spacing w:lineRule="auto" w:line="276" w:before="120" w:after="120"/>
        <w:jc w:val="both"/>
        <w:rPr>
          <w:color w:val="000000"/>
        </w:rPr>
      </w:pPr>
      <w:r>
        <w:rPr>
          <w:rFonts w:cs="Arial" w:ascii="Arial" w:hAnsi="Arial"/>
          <w:i/>
          <w:iCs/>
          <w:color w:val="000000"/>
          <w:sz w:val="20"/>
          <w:szCs w:val="20"/>
        </w:rPr>
        <w:t>As cessões de crédito não fiduciárias dependerão de prévia aprovação do contratante.</w:t>
      </w:r>
    </w:p>
    <w:p>
      <w:pPr>
        <w:pStyle w:val="Normal"/>
        <w:numPr>
          <w:ilvl w:val="2"/>
          <w:numId w:val="57"/>
        </w:numPr>
        <w:spacing w:lineRule="auto" w:line="276" w:before="120" w:after="120"/>
        <w:ind w:left="284" w:hanging="0"/>
        <w:jc w:val="both"/>
        <w:rPr>
          <w:rFonts w:ascii="Arial" w:hAnsi="Arial" w:cs="Arial"/>
          <w:sz w:val="20"/>
          <w:szCs w:val="20"/>
        </w:rPr>
      </w:pPr>
      <w:r>
        <w:rPr>
          <w:rFonts w:cs="Arial" w:ascii="Arial" w:hAnsi="Arial"/>
          <w:sz w:val="20"/>
          <w:szCs w:val="20"/>
        </w:rPr>
        <w:t>A cessão de crédito, de qualquer natureza,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numPr>
          <w:ilvl w:val="2"/>
          <w:numId w:val="58"/>
        </w:numPr>
        <w:spacing w:lineRule="auto" w:line="276" w:before="120" w:after="120"/>
        <w:ind w:left="284" w:hanging="0"/>
        <w:jc w:val="both"/>
        <w:rPr>
          <w:rFonts w:ascii="Arial" w:hAnsi="Arial" w:cs="Arial"/>
          <w:sz w:val="20"/>
          <w:szCs w:val="20"/>
        </w:rPr>
      </w:pPr>
      <w:r>
        <w:rPr>
          <w:rFonts w:cs="Arial" w:ascii="Arial" w:hAnsi="Arial"/>
          <w:sz w:val="20"/>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01Titulo"/>
        <w:numPr>
          <w:ilvl w:val="0"/>
          <w:numId w:val="2"/>
        </w:numPr>
        <w:rPr>
          <w:rFonts w:cs="Arial"/>
          <w:bCs w:val="false"/>
          <w:color w:val="0000CC"/>
        </w:rPr>
      </w:pPr>
      <w:r>
        <w:rPr>
          <w:rFonts w:cs="Arial"/>
        </w:rPr>
        <w:t>CLÁUSULA SEXTA - REAJUSTE (art. 92, V)</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Os preços inicialmente contratados são fixos e irreajustáveis no prazo de um ano contado da data do orçamento estimado, em</w:t>
      </w:r>
      <w:r>
        <w:rPr>
          <w:rFonts w:cs="Arial" w:ascii="Arial" w:hAnsi="Arial"/>
          <w:color w:val="000000"/>
          <w:sz w:val="20"/>
          <w:szCs w:val="20"/>
        </w:rPr>
        <w:t xml:space="preserve"> </w:t>
      </w:r>
      <w:r>
        <w:rPr>
          <w:rFonts w:cs="Arial" w:ascii="Arial" w:hAnsi="Arial"/>
          <w:i/>
          <w:iCs/>
          <w:color w:val="000000"/>
          <w:sz w:val="20"/>
          <w:szCs w:val="20"/>
        </w:rPr>
        <w:t>22/11/2022</w:t>
      </w:r>
      <w:r>
        <w:rPr>
          <w:rFonts w:cs="Arial" w:ascii="Arial" w:hAnsi="Arial"/>
          <w:color w:val="000000"/>
          <w:sz w:val="20"/>
          <w:szCs w:val="20"/>
        </w:rPr>
        <w:t>.</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Após o interregno de um ano, e independentemente de pedido do Contratado, os preços iniciais serão reajustados, mediante a aplicação, pelo Contratante, do índic</w:t>
      </w:r>
      <w:r>
        <w:rPr>
          <w:rFonts w:cs="Arial" w:ascii="Arial" w:hAnsi="Arial"/>
          <w:color w:val="000000"/>
          <w:sz w:val="20"/>
          <w:szCs w:val="20"/>
        </w:rPr>
        <w:t xml:space="preserve">e </w:t>
      </w:r>
      <w:r>
        <w:rPr>
          <w:rFonts w:cs="Arial" w:ascii="Arial" w:hAnsi="Arial"/>
          <w:i/>
          <w:iCs/>
          <w:color w:val="000000"/>
          <w:sz w:val="20"/>
          <w:szCs w:val="20"/>
        </w:rPr>
        <w:t>IPCA-IBGE,</w:t>
      </w:r>
      <w:r>
        <w:rPr>
          <w:rFonts w:cs="Arial" w:ascii="Arial" w:hAnsi="Arial"/>
          <w:color w:val="000000"/>
          <w:sz w:val="20"/>
          <w:szCs w:val="20"/>
        </w:rPr>
        <w:t xml:space="preserve"> </w:t>
      </w:r>
      <w:r>
        <w:rPr>
          <w:rFonts w:cs="Arial" w:ascii="Arial" w:hAnsi="Arial"/>
          <w:sz w:val="20"/>
          <w:szCs w:val="20"/>
        </w:rPr>
        <w:t>exclusivamente para as obrigações iniciadas e concluídas após a ocorrência da anualidade</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2"/>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2"/>
        </w:numPr>
        <w:rPr>
          <w:rFonts w:cs="Arial"/>
        </w:rPr>
      </w:pPr>
      <w:r>
        <w:rPr>
          <w:rFonts w:cs="Arial"/>
        </w:rPr>
        <w:t>CLÁUSULA SÉTIMA - OBRIGAÇÕES DO CONTRATANTE (art. 92, X, XI e XIV)</w:t>
      </w:r>
    </w:p>
    <w:p>
      <w:pPr>
        <w:pStyle w:val="Normal"/>
        <w:numPr>
          <w:ilvl w:val="1"/>
          <w:numId w:val="2"/>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Receber o objeto no prazo e condições estabelecidas no Termo de Referência;</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2"/>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2"/>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 xml:space="preserve">Concluída a instrução do requerimento, a Administração terá o prazo de </w:t>
      </w:r>
      <w:r>
        <w:rPr>
          <w:rFonts w:cs="Arial" w:ascii="Arial" w:hAnsi="Arial"/>
          <w:bCs/>
          <w:i/>
          <w:color w:val="000000"/>
          <w:sz w:val="20"/>
          <w:szCs w:val="20"/>
        </w:rPr>
        <w:t>5 (cinco) dias</w:t>
      </w:r>
      <w:r>
        <w:rPr>
          <w:rFonts w:cs="Arial" w:ascii="Arial" w:hAnsi="Arial"/>
          <w:bCs/>
          <w:color w:val="000000"/>
          <w:sz w:val="20"/>
          <w:szCs w:val="20"/>
        </w:rPr>
        <w:t xml:space="preserve"> para decidir, admitida a prorrogação motivada por igual período.</w:t>
      </w:r>
    </w:p>
    <w:p>
      <w:pPr>
        <w:pStyle w:val="Normal"/>
        <w:numPr>
          <w:ilvl w:val="2"/>
          <w:numId w:val="2"/>
        </w:numPr>
        <w:spacing w:lineRule="auto" w:line="276" w:before="120" w:after="120"/>
        <w:jc w:val="both"/>
        <w:rPr>
          <w:color w:val="000000"/>
        </w:rPr>
      </w:pPr>
      <w:r>
        <w:rPr>
          <w:rFonts w:cs="Arial" w:ascii="Arial" w:hAnsi="Arial"/>
          <w:bCs/>
          <w:i/>
          <w:color w:val="000000"/>
          <w:sz w:val="20"/>
          <w:szCs w:val="20"/>
        </w:rPr>
        <w:t>Notificar os emitentes das garantias quanto ao início de processo administrativo para apuração de descumprimento de cláusulas contratuais.</w:t>
      </w:r>
    </w:p>
    <w:p>
      <w:pPr>
        <w:pStyle w:val="Normal"/>
        <w:numPr>
          <w:ilvl w:val="2"/>
          <w:numId w:val="2"/>
        </w:numPr>
        <w:spacing w:lineRule="auto" w:line="276" w:before="120" w:after="120"/>
        <w:jc w:val="both"/>
        <w:rPr>
          <w:color w:val="000000"/>
        </w:rPr>
      </w:pPr>
      <w:r>
        <w:rPr>
          <w:rFonts w:cs="Arial" w:ascii="Arial" w:hAnsi="Arial"/>
          <w:i/>
          <w:iCs/>
          <w:color w:val="000000"/>
          <w:sz w:val="20"/>
          <w:szCs w:val="20"/>
        </w:rPr>
        <w:t>Comunicar o Contratado na hipótese de posterior alteração do projeto pelo Contratante, no caso do art. 93, §2º, da Lei nº 14.133/21.</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2"/>
        </w:numPr>
        <w:rPr>
          <w:rFonts w:cs="Arial"/>
        </w:rPr>
      </w:pPr>
      <w:r>
        <w:rPr>
          <w:rFonts w:cs="Arial"/>
        </w:rPr>
        <w:t>CLÁUSULA OITAVA - OBRIGAÇÕES DO CONTRATADO (art. 92, XIV, XVI e XVII)</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 Contratado deve cumprir todas as obrigações constantes deste Contrato, em seus anexos, assumindo como exclusivamente seus os riscos e as despesas decorrentes da boa e perfeita execução do objeto, observando, ainda, as obrigações a seguir dispostas:</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manter preposto aceito pela Administração no local da obra ou do serviço para representá-lo na execução do contrato.</w:t>
      </w:r>
    </w:p>
    <w:p>
      <w:pPr>
        <w:pStyle w:val="Normal"/>
        <w:numPr>
          <w:ilvl w:val="3"/>
          <w:numId w:val="2"/>
        </w:numPr>
        <w:spacing w:lineRule="auto" w:line="276" w:before="120" w:after="120"/>
        <w:jc w:val="both"/>
        <w:rPr>
          <w:rFonts w:ascii="Arial" w:hAnsi="Arial" w:cs="Arial"/>
          <w:color w:val="000000" w:themeColor="text1"/>
          <w:sz w:val="20"/>
          <w:szCs w:val="20"/>
        </w:rPr>
      </w:pPr>
      <w:r>
        <w:rPr>
          <w:rFonts w:cs="Arial" w:ascii="Arial" w:hAnsi="Arial"/>
          <w:sz w:val="20"/>
          <w:szCs w:val="20"/>
        </w:rPr>
        <w:t>A indicação ou a manutenção do preposto da empresa poderá ser recusada pelo órgão ou entidade, desde que devidamente justificada, devendo a empresa designar outro para o exercício da atividade.</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Atender às determinações regulares emitidas pelo fiscal do contrato ou autoridade superior (art. 137, II);</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pPr>
        <w:pStyle w:val="Normal"/>
        <w:numPr>
          <w:ilvl w:val="2"/>
          <w:numId w:val="2"/>
        </w:numPr>
        <w:spacing w:lineRule="auto" w:line="276" w:before="120" w:after="120"/>
        <w:jc w:val="both"/>
        <w:rPr>
          <w:rFonts w:ascii="Arial" w:hAnsi="Arial" w:cs="Arial"/>
          <w:iCs/>
          <w:sz w:val="20"/>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Pr>
          <w:rFonts w:cs="Arial" w:ascii="Arial" w:hAnsi="Arial"/>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ormal"/>
        <w:numPr>
          <w:ilvl w:val="2"/>
          <w:numId w:val="2"/>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2"/>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dos serviços.</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sz w:val="20"/>
          <w:szCs w:val="20"/>
        </w:rPr>
        <w:t>Prestar todo esclarecimento ou informação solicitada pelo Contratante ou por seus prepostos, garantindo-lhes o acesso, a qualquer tempo, ao local dos trabalhos, bem como aos documentos relativos à execução do empreendimento.</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sz w:val="20"/>
          <w:szCs w:val="20"/>
        </w:rPr>
        <w:t>Promover a guarda, manutenção e vigilância de materiais, ferramentas, e tudo o que for necessário à execução do objeto, durante a vigência do contrato.</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Submeter previamente, por escrito, ao Contratante, para análise e aprovação, quaisquer mudanças nos métodos executivos que fujam às especificações do memorial descritivo ou instrumento congênere.</w:t>
      </w:r>
    </w:p>
    <w:p>
      <w:pPr>
        <w:pStyle w:val="Normal"/>
        <w:numPr>
          <w:ilvl w:val="2"/>
          <w:numId w:val="2"/>
        </w:numPr>
        <w:spacing w:lineRule="auto" w:line="276" w:before="120" w:after="120"/>
        <w:jc w:val="both"/>
        <w:rPr>
          <w:rFonts w:ascii="Arial" w:hAnsi="Arial" w:cs="Arial"/>
          <w:sz w:val="20"/>
          <w:szCs w:val="20"/>
        </w:rPr>
      </w:pPr>
      <w:r>
        <w:rPr>
          <w:rFonts w:cs="Arial" w:ascii="Arial" w:hAnsi="Arial"/>
          <w:color w:val="000000"/>
          <w:sz w:val="20"/>
          <w:szCs w:val="20"/>
        </w:rPr>
        <w:t xml:space="preserve">Não permitir a utilização de qualquer trabalho do menor de dezesseis anos, </w:t>
      </w:r>
      <w:r>
        <w:rPr>
          <w:rFonts w:cs="Arial" w:ascii="Arial" w:hAnsi="Arial"/>
          <w:sz w:val="20"/>
          <w:szCs w:val="20"/>
        </w:rPr>
        <w:t>exceto na condição de aprendiz para os maiores de quatorze anos, nem permitir a utilização do trabalho do menor de dezoito anos em trabalho noturno, perigoso ou insalubre;</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2"/>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Guardar sigilo sobre todas as informações obtidas em decorrência do cumprimento do contrato; </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numPr>
          <w:ilvl w:val="2"/>
          <w:numId w:val="2"/>
        </w:numPr>
        <w:spacing w:lineRule="auto" w:line="276" w:before="120" w:after="120"/>
        <w:jc w:val="both"/>
        <w:rPr>
          <w:color w:val="000000"/>
        </w:rPr>
      </w:pPr>
      <w:r>
        <w:rPr>
          <w:rFonts w:cs="Arial" w:ascii="Arial" w:hAnsi="Arial"/>
          <w:i/>
          <w:iCs/>
          <w:color w:val="000000"/>
          <w:sz w:val="20"/>
          <w:szCs w:val="20"/>
        </w:rPr>
        <w:t>Suprimido</w:t>
      </w:r>
    </w:p>
    <w:p>
      <w:pPr>
        <w:pStyle w:val="Nivel01Titulo"/>
        <w:numPr>
          <w:ilvl w:val="0"/>
          <w:numId w:val="2"/>
        </w:numPr>
        <w:rPr>
          <w:color w:val="000000"/>
        </w:rPr>
      </w:pPr>
      <w:r>
        <w:rPr>
          <w:rFonts w:cs="Arial"/>
          <w:i/>
          <w:iCs/>
          <w:color w:val="000000"/>
        </w:rPr>
        <w:t>CLÁUSULA NONA- OBRIGAÇÕES PERTINENTES À LGPD</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Os dados obtidos somente poderão ser utilizados para as finalidades que justificaram seu acesso e de acordo com a boa-fé e com os princípios do art. 6º da LGPD. </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É vedado o compartilhamento com terceiros dos dados obtidos fora das hipóteses permitidas em Lei.</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 Administração deverá ser informada no prazo de 5 (cinco) dias úteis sobre todos os contratos de suboperação firmados ou que venham a ser celebrados pelo Contratado. </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É dever do contratado orientar e treinar seus empregados sobre os deveres, requisitos e responsabilidades decorrentes da LGPD. </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O Contratado deverá exigir de suboperadores e subcontratados o cumprimento dos deveres da presente cláusula, permanecendo integralmente responsável por garantir sua observância.</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Contratante poderá realizar diligência para aferir o cumprimento dessa cláusula, devendo o Contratado atender prontamente eventuais pedidos de comprovação formulados. </w:t>
      </w:r>
    </w:p>
    <w:p>
      <w:pPr>
        <w:pStyle w:val="Normal"/>
        <w:numPr>
          <w:ilvl w:val="1"/>
          <w:numId w:val="9"/>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Contratado deverá prestar, no prazo fixado pelo Contratante, prorrogável justificadamente, quaisquer informações acerca dos dados pessoais para cumprimento da LGPD, inclusive quanto a eventual descarte realizado. </w:t>
      </w:r>
    </w:p>
    <w:p>
      <w:pPr>
        <w:pStyle w:val="Normal"/>
        <w:numPr>
          <w:ilvl w:val="1"/>
          <w:numId w:val="9"/>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Normal"/>
        <w:numPr>
          <w:ilvl w:val="2"/>
          <w:numId w:val="9"/>
        </w:numPr>
        <w:spacing w:lineRule="auto" w:line="276" w:before="120" w:after="120"/>
        <w:ind w:left="1560" w:hanging="720"/>
        <w:jc w:val="both"/>
        <w:rPr>
          <w:color w:val="000000"/>
        </w:rPr>
      </w:pPr>
      <w:r>
        <w:rPr>
          <w:rFonts w:eastAsia="Arial Unicode MS" w:cs="Arial" w:ascii="Arial" w:hAnsi="Arial"/>
          <w:i/>
          <w:iCs/>
          <w:color w:val="000000"/>
          <w:sz w:val="20"/>
          <w:szCs w:val="20"/>
          <w:lang w:eastAsia="pt-BR"/>
        </w:rPr>
        <w:t xml:space="preserve">Os referidos bancos de dados devem ser desenvolvidos em formato interoperável, a fim de garantir a reutilização desses dados pela Administração nas hipóteses previstas na LGPD. </w:t>
      </w:r>
    </w:p>
    <w:p>
      <w:pPr>
        <w:pStyle w:val="Normal"/>
        <w:numPr>
          <w:ilvl w:val="1"/>
          <w:numId w:val="9"/>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pPr>
        <w:pStyle w:val="Normal"/>
        <w:numPr>
          <w:ilvl w:val="1"/>
          <w:numId w:val="9"/>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Os contratos e convênios de que trata o § 1º do art. 26 da LGPD deverão ser comunicados à autoridade nacional. </w:t>
      </w:r>
    </w:p>
    <w:p>
      <w:pPr>
        <w:pStyle w:val="Nivel01Titulo"/>
        <w:numPr>
          <w:ilvl w:val="0"/>
          <w:numId w:val="2"/>
        </w:numPr>
        <w:rPr>
          <w:rFonts w:cs="Arial"/>
        </w:rPr>
      </w:pPr>
      <w:r>
        <w:rPr>
          <w:rFonts w:cs="Arial"/>
        </w:rPr>
        <w:t>CLÁUSULA DÉCIMA – GARANTIA DE EXECUÇÃO (art. 92, XII e XIII)</w:t>
      </w:r>
    </w:p>
    <w:p>
      <w:pPr>
        <w:pStyle w:val="Normal"/>
        <w:numPr>
          <w:ilvl w:val="1"/>
          <w:numId w:val="2"/>
        </w:numPr>
        <w:spacing w:lineRule="auto" w:line="276" w:before="120" w:after="120"/>
        <w:ind w:left="425" w:hanging="0"/>
        <w:jc w:val="both"/>
        <w:rPr/>
      </w:pPr>
      <w:r>
        <w:rPr>
          <w:rFonts w:cs="Arial" w:ascii="Arial" w:hAnsi="Arial"/>
          <w:i/>
          <w:color w:val="000000"/>
          <w:sz w:val="20"/>
          <w:szCs w:val="20"/>
        </w:rPr>
        <w:t>Não haverá exigência de garantia contratual da execução.</w:t>
      </w:r>
    </w:p>
    <w:p>
      <w:pPr>
        <w:pStyle w:val="Nivel01Titulo"/>
        <w:numPr>
          <w:ilvl w:val="0"/>
          <w:numId w:val="2"/>
        </w:numPr>
        <w:rPr>
          <w:rFonts w:cs="Arial"/>
        </w:rPr>
      </w:pPr>
      <w:r>
        <w:rPr>
          <w:rFonts w:cs="Arial"/>
        </w:rPr>
        <w:t>CLÁUSULA DÉCIMA PRIMEIRA – INFRAÇÕES E SANÇÕES ADMINISTRATIVAS (art. 92, XIV)</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59"/>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60"/>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61"/>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62"/>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63"/>
        </w:numPr>
        <w:spacing w:lineRule="auto" w:line="276" w:before="120" w:after="120"/>
        <w:ind w:left="1224" w:right="-30" w:hanging="504"/>
        <w:jc w:val="both"/>
        <w:rPr>
          <w:rFonts w:ascii="Arial" w:hAnsi="Arial" w:cs="Arial"/>
          <w:sz w:val="20"/>
          <w:szCs w:val="20"/>
        </w:rPr>
      </w:pPr>
      <w:r>
        <w:rPr>
          <w:rFonts w:cs="Arial" w:ascii="Arial" w:hAnsi="Arial"/>
          <w:sz w:val="20"/>
          <w:szCs w:val="20"/>
        </w:rPr>
        <w:t>não manter a proposta, salvo em decorrência de fato superveniente devidamente justificado;</w:t>
      </w:r>
    </w:p>
    <w:p>
      <w:pPr>
        <w:pStyle w:val="PargrafodaLista1"/>
        <w:numPr>
          <w:ilvl w:val="2"/>
          <w:numId w:val="64"/>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65"/>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66"/>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67"/>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68"/>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69"/>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da contratação;</w:t>
      </w:r>
    </w:p>
    <w:p>
      <w:pPr>
        <w:pStyle w:val="PargrafodaLista1"/>
        <w:numPr>
          <w:ilvl w:val="2"/>
          <w:numId w:val="70"/>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71"/>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72"/>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73"/>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74"/>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75"/>
        </w:numPr>
        <w:spacing w:lineRule="auto" w:line="276" w:before="120" w:after="120"/>
        <w:jc w:val="both"/>
        <w:rPr>
          <w:rFonts w:ascii="Arial" w:hAnsi="Arial" w:cs="Arial"/>
          <w:sz w:val="20"/>
          <w:szCs w:val="20"/>
        </w:rPr>
      </w:pPr>
      <w:r>
        <w:rPr>
          <w:rFonts w:cs="Arial" w:ascii="Arial" w:hAnsi="Arial"/>
          <w:sz w:val="20"/>
          <w:szCs w:val="20"/>
        </w:rPr>
        <w:t>moratória de</w:t>
      </w:r>
      <w:r>
        <w:rPr>
          <w:rFonts w:cs="Arial" w:ascii="Arial" w:hAnsi="Arial"/>
          <w:color w:val="000000"/>
          <w:sz w:val="20"/>
          <w:szCs w:val="20"/>
        </w:rPr>
        <w:t xml:space="preserve"> 1</w:t>
      </w:r>
      <w:r>
        <w:rPr>
          <w:rFonts w:cs="Arial" w:ascii="Arial" w:hAnsi="Arial"/>
          <w:sz w:val="20"/>
          <w:szCs w:val="20"/>
        </w:rPr>
        <w:t>% (</w:t>
      </w:r>
      <w:r>
        <w:rPr>
          <w:rFonts w:cs="Arial" w:ascii="Arial" w:hAnsi="Arial"/>
          <w:color w:val="000000"/>
          <w:sz w:val="20"/>
          <w:szCs w:val="20"/>
        </w:rPr>
        <w:t>um</w:t>
      </w:r>
      <w:r>
        <w:rPr>
          <w:rFonts w:cs="Arial" w:ascii="Arial" w:hAnsi="Arial"/>
          <w:sz w:val="20"/>
          <w:szCs w:val="20"/>
        </w:rPr>
        <w:t xml:space="preserve"> por cento) por dia de atraso injustificado sobre o valor da </w:t>
      </w:r>
      <w:r>
        <w:rPr>
          <w:rFonts w:cs="Arial" w:ascii="Arial" w:hAnsi="Arial"/>
          <w:color w:val="000000"/>
          <w:sz w:val="20"/>
          <w:szCs w:val="20"/>
        </w:rPr>
        <w:t>parcela inadimplida, até o limite de 30 (trinta) dias;</w:t>
      </w:r>
    </w:p>
    <w:p>
      <w:pPr>
        <w:pStyle w:val="Normal"/>
        <w:numPr>
          <w:ilvl w:val="3"/>
          <w:numId w:val="76"/>
        </w:numPr>
        <w:spacing w:lineRule="auto" w:line="276" w:before="120" w:after="120"/>
        <w:jc w:val="both"/>
        <w:rPr>
          <w:color w:val="000000"/>
        </w:rPr>
      </w:pPr>
      <w:r>
        <w:rPr>
          <w:rFonts w:cs="Arial" w:ascii="Arial" w:hAnsi="Arial"/>
          <w:i/>
          <w:iCs/>
          <w:color w:val="000000"/>
          <w:sz w:val="20"/>
          <w:szCs w:val="20"/>
        </w:rPr>
        <w:t xml:space="preserve">moratória de 1% (um por cento) por dia de atraso injustificado sobre o valor total do contrato, até o máximo de 30% (trinta por cento) pela inobservância do prazo fixado para apresentação, suplementação ou reposição da garantia. </w:t>
      </w:r>
    </w:p>
    <w:p>
      <w:pPr>
        <w:pStyle w:val="Normal"/>
        <w:numPr>
          <w:ilvl w:val="4"/>
          <w:numId w:val="77"/>
        </w:numPr>
        <w:spacing w:lineRule="auto" w:line="276" w:before="120" w:after="120"/>
        <w:jc w:val="both"/>
        <w:rPr>
          <w:rFonts w:ascii="Arial" w:hAnsi="Arial" w:cs="Arial"/>
          <w:i/>
          <w:i/>
          <w:iCs/>
          <w:color w:val="FF0000"/>
          <w:sz w:val="20"/>
          <w:szCs w:val="20"/>
        </w:rPr>
      </w:pPr>
      <w:r>
        <w:rPr>
          <w:rFonts w:cs="Arial" w:ascii="Arial" w:hAnsi="Arial"/>
          <w:i/>
          <w:iCs/>
          <w:color w:val="000000"/>
          <w:sz w:val="20"/>
          <w:szCs w:val="20"/>
        </w:rPr>
        <w:t>O atraso superior a 30 dias autoriza a Administração a promover a rescisão do contrato por descumprimento ou cumprimento irregular de suas cláusulas, conforme dispõe o inciso I do art. 137 da Lei n. 14.133, de 2021.</w:t>
      </w:r>
      <w:r>
        <w:rPr>
          <w:rFonts w:cs="Arial" w:ascii="Arial" w:hAnsi="Arial"/>
          <w:i/>
          <w:iCs/>
          <w:color w:val="FF0000"/>
          <w:sz w:val="20"/>
          <w:szCs w:val="20"/>
        </w:rPr>
        <w:t xml:space="preserve"> </w:t>
      </w:r>
    </w:p>
    <w:p>
      <w:pPr>
        <w:pStyle w:val="Normal"/>
        <w:numPr>
          <w:ilvl w:val="3"/>
          <w:numId w:val="78"/>
        </w:numPr>
        <w:spacing w:lineRule="auto" w:line="276" w:before="120" w:after="120"/>
        <w:jc w:val="both"/>
        <w:rPr>
          <w:rFonts w:ascii="Arial" w:hAnsi="Arial" w:cs="Arial"/>
          <w:sz w:val="20"/>
          <w:szCs w:val="20"/>
        </w:rPr>
      </w:pPr>
      <w:r>
        <w:rPr>
          <w:rFonts w:cs="Arial" w:ascii="Arial" w:hAnsi="Arial"/>
          <w:sz w:val="20"/>
          <w:szCs w:val="20"/>
        </w:rPr>
        <w:t xml:space="preserve">compensatória de </w:t>
      </w:r>
      <w:r>
        <w:rPr>
          <w:rFonts w:cs="Arial" w:ascii="Arial" w:hAnsi="Arial"/>
          <w:color w:val="000000"/>
          <w:sz w:val="20"/>
          <w:szCs w:val="20"/>
        </w:rPr>
        <w:t>30</w:t>
      </w:r>
      <w:r>
        <w:rPr>
          <w:rFonts w:cs="Arial" w:ascii="Arial" w:hAnsi="Arial"/>
          <w:sz w:val="20"/>
          <w:szCs w:val="20"/>
        </w:rPr>
        <w:t>% (trinta por cento) sobre o valor total do contrato, no caso de inexecução total do objeto;</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A aplicação das sanções previstas neste Contrato não exclui, em hipótese alguma, a obrigação de reparação integral do dano causado à Contratante (art. 156, §9º)</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 xml:space="preserve">Previamente ao encaminhamento à cobrança judicial, a multa poderá ser recolhida administrativamente no prazo máximo de </w:t>
      </w:r>
      <w:r>
        <w:rPr>
          <w:rFonts w:cs="Arial" w:ascii="Arial" w:hAnsi="Arial"/>
          <w:i/>
          <w:iCs/>
          <w:color w:val="000000"/>
          <w:sz w:val="20"/>
          <w:szCs w:val="20"/>
        </w:rPr>
        <w:t xml:space="preserve">30 (trinta) </w:t>
      </w:r>
      <w:r>
        <w:rPr>
          <w:rFonts w:cs="Arial" w:ascii="Arial" w:hAnsi="Arial"/>
          <w:color w:val="000000"/>
          <w:sz w:val="20"/>
          <w:szCs w:val="20"/>
        </w:rPr>
        <w:t>d</w:t>
      </w:r>
      <w:r>
        <w:rPr>
          <w:rFonts w:cs="Arial" w:ascii="Arial" w:hAnsi="Arial"/>
          <w:sz w:val="20"/>
          <w:szCs w:val="20"/>
        </w:rPr>
        <w:t>ias, a contar da data do recebimento da comunicação enviada pela autoridade competente.</w:t>
      </w:r>
      <w:bookmarkStart w:id="0" w:name="_Hlk78351618"/>
      <w:bookmarkEnd w:id="0"/>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7"/>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7"/>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7"/>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7"/>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7"/>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2"/>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2"/>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2"/>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2"/>
        </w:numPr>
        <w:rPr>
          <w:rFonts w:cs="Arial"/>
        </w:rPr>
      </w:pPr>
      <w:r>
        <w:rPr>
          <w:rFonts w:cs="Arial"/>
        </w:rPr>
        <w:t>CLÁUSULA DÉCIMA SEGUNDA – DA EXTINÇÃO CONTRATUAL (art. 92, XIX)</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2"/>
        </w:numPr>
        <w:spacing w:lineRule="auto" w:line="276" w:before="120" w:after="120"/>
        <w:ind w:left="425" w:hanging="0"/>
        <w:jc w:val="both"/>
        <w:rPr>
          <w:color w:val="000000"/>
        </w:rPr>
      </w:pPr>
      <w:r>
        <w:rPr>
          <w:rFonts w:cs="Arial" w:ascii="Arial" w:hAnsi="Arial"/>
          <w:i/>
          <w:iCs/>
          <w:color w:val="000000"/>
          <w:sz w:val="20"/>
          <w:szCs w:val="20"/>
        </w:rPr>
        <w:t>O contrato se extingue quando cumpridas as obrigações de ambas as partes, ainda que isso ocorra antes do prazo estipulado para tanto.</w:t>
      </w:r>
    </w:p>
    <w:p>
      <w:pPr>
        <w:pStyle w:val="Normal"/>
        <w:numPr>
          <w:ilvl w:val="1"/>
          <w:numId w:val="2"/>
        </w:numPr>
        <w:spacing w:lineRule="auto" w:line="276" w:before="120" w:after="120"/>
        <w:ind w:left="425" w:hanging="0"/>
        <w:jc w:val="both"/>
        <w:rPr>
          <w:color w:val="000000"/>
        </w:rPr>
      </w:pPr>
      <w:r>
        <w:rPr>
          <w:rFonts w:cs="Arial" w:ascii="Arial" w:hAnsi="Arial"/>
          <w:i/>
          <w:iCs/>
          <w:color w:val="000000"/>
          <w:sz w:val="20"/>
          <w:szCs w:val="20"/>
        </w:rPr>
        <w:t>Se as obrigações não forem cumpridas no prazo estipulado, a vigência ficará prorrogada até a conclusão do objeto, caso em que deverá a Administração providenciar a readequação do cronograma físico-financeiro.</w:t>
      </w:r>
    </w:p>
    <w:p>
      <w:pPr>
        <w:pStyle w:val="Normal"/>
        <w:numPr>
          <w:ilvl w:val="2"/>
          <w:numId w:val="2"/>
        </w:numPr>
        <w:spacing w:lineRule="auto" w:line="276" w:before="120" w:after="120"/>
        <w:jc w:val="both"/>
        <w:rPr>
          <w:color w:val="000000"/>
        </w:rPr>
      </w:pPr>
      <w:r>
        <w:rPr>
          <w:rFonts w:cs="Arial" w:ascii="Arial" w:hAnsi="Arial"/>
          <w:i/>
          <w:iCs/>
          <w:color w:val="000000"/>
          <w:sz w:val="20"/>
          <w:szCs w:val="20"/>
        </w:rPr>
        <w:t>Quando a não conclusão do contrato referida no item anterior decorrer de culpa do contratado:</w:t>
      </w:r>
    </w:p>
    <w:p>
      <w:pPr>
        <w:pStyle w:val="ListParagraph"/>
        <w:numPr>
          <w:ilvl w:val="0"/>
          <w:numId w:val="8"/>
        </w:numPr>
        <w:spacing w:lineRule="auto" w:line="240"/>
        <w:ind w:left="1985" w:hanging="360"/>
        <w:jc w:val="both"/>
        <w:rPr>
          <w:color w:val="000000"/>
        </w:rPr>
      </w:pPr>
      <w:r>
        <w:rPr>
          <w:rFonts w:cs="Arial" w:ascii="Arial" w:hAnsi="Arial"/>
          <w:i/>
          <w:iCs/>
          <w:color w:val="000000"/>
          <w:sz w:val="20"/>
          <w:szCs w:val="20"/>
        </w:rPr>
        <w:t xml:space="preserve">ficará ele constituído em mora, sendo-lhe aplicáveis as respectivas sanções administrativas; e  </w:t>
      </w:r>
    </w:p>
    <w:p>
      <w:pPr>
        <w:pStyle w:val="ListParagraph"/>
        <w:numPr>
          <w:ilvl w:val="0"/>
          <w:numId w:val="8"/>
        </w:numPr>
        <w:spacing w:lineRule="auto" w:line="240"/>
        <w:ind w:left="1985" w:hanging="360"/>
        <w:jc w:val="both"/>
        <w:rPr>
          <w:color w:val="000000"/>
        </w:rPr>
      </w:pPr>
      <w:r>
        <w:rPr>
          <w:rFonts w:cs="Arial" w:ascii="Arial" w:hAnsi="Arial"/>
          <w:i/>
          <w:iCs/>
          <w:color w:val="000000"/>
          <w:sz w:val="20"/>
          <w:szCs w:val="20"/>
        </w:rPr>
        <w:t>poderá a Administração optar pela extinção do contrato e, nesse caso, adotará as medidas admitidas em lei para a continuidade da execução contratual.</w:t>
      </w:r>
    </w:p>
    <w:p>
      <w:pPr>
        <w:pStyle w:val="Nivel01Titulo"/>
        <w:numPr>
          <w:ilvl w:val="0"/>
          <w:numId w:val="2"/>
        </w:numPr>
        <w:rPr>
          <w:rFonts w:cs="Arial"/>
        </w:rPr>
      </w:pPr>
      <w:r>
        <w:rPr>
          <w:rFonts w:cs="Arial"/>
        </w:rPr>
        <w:t>CLÁUSULA DÉCIMA TERCEIRA – DOTAÇÃO ORÇAMENTÁRIA (art. 92, VIII)</w:t>
      </w:r>
    </w:p>
    <w:p>
      <w:pPr>
        <w:pStyle w:val="Normal"/>
        <w:numPr>
          <w:ilvl w:val="1"/>
          <w:numId w:val="79"/>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0" w:after="0"/>
        <w:ind w:left="1493" w:right="0" w:hanging="0"/>
        <w:jc w:val="both"/>
        <w:rPr>
          <w:rFonts w:ascii="Arial" w:hAnsi="Arial" w:cs="Arial"/>
          <w:i/>
          <w:i/>
          <w:iCs/>
          <w:color w:val="000000"/>
          <w:sz w:val="20"/>
          <w:szCs w:val="20"/>
        </w:rPr>
      </w:pPr>
      <w:r>
        <w:rPr>
          <w:rFonts w:cs="Arial" w:ascii="Arial" w:hAnsi="Arial"/>
          <w:i/>
          <w:iCs/>
          <w:color w:val="000000"/>
          <w:sz w:val="20"/>
          <w:szCs w:val="20"/>
        </w:rPr>
        <w:t>Gestão/Unidade: 00002;</w:t>
      </w:r>
    </w:p>
    <w:p>
      <w:pPr>
        <w:pStyle w:val="Normal"/>
        <w:numPr>
          <w:ilvl w:val="0"/>
          <w:numId w:val="0"/>
        </w:numPr>
        <w:spacing w:lineRule="auto" w:line="276" w:before="0" w:after="0"/>
        <w:ind w:left="1210" w:right="0" w:hanging="0"/>
        <w:jc w:val="both"/>
        <w:rPr/>
      </w:pPr>
      <w:r>
        <w:rPr>
          <w:rFonts w:cs="Arial" w:ascii="Arial" w:hAnsi="Arial"/>
          <w:i/>
          <w:iCs/>
          <w:color w:val="000000"/>
          <w:sz w:val="20"/>
          <w:szCs w:val="20"/>
        </w:rPr>
        <w:t>Fonte de Recursos: 150270001;</w:t>
      </w:r>
    </w:p>
    <w:p>
      <w:pPr>
        <w:pStyle w:val="Normal"/>
        <w:widowControl/>
        <w:numPr>
          <w:ilvl w:val="0"/>
          <w:numId w:val="0"/>
        </w:numPr>
        <w:bidi w:val="0"/>
        <w:spacing w:lineRule="auto" w:line="276" w:before="0" w:after="0"/>
        <w:ind w:left="1210" w:right="0" w:hanging="0"/>
        <w:jc w:val="both"/>
        <w:rPr>
          <w:rFonts w:ascii="Arial" w:hAnsi="Arial" w:cs="Arial"/>
          <w:i/>
          <w:i/>
          <w:iCs/>
          <w:color w:val="000000"/>
          <w:sz w:val="20"/>
          <w:szCs w:val="20"/>
        </w:rPr>
      </w:pPr>
      <w:r>
        <w:rPr>
          <w:rFonts w:cs="Arial" w:ascii="Arial" w:hAnsi="Arial"/>
          <w:i/>
          <w:iCs/>
          <w:color w:val="000000"/>
          <w:sz w:val="20"/>
          <w:szCs w:val="20"/>
        </w:rPr>
        <w:t>Programa de Trabalho:171497;</w:t>
      </w:r>
    </w:p>
    <w:p>
      <w:pPr>
        <w:pStyle w:val="Normal"/>
        <w:numPr>
          <w:ilvl w:val="0"/>
          <w:numId w:val="0"/>
        </w:numPr>
        <w:spacing w:lineRule="auto" w:line="276" w:before="0" w:after="0"/>
        <w:ind w:left="1210" w:right="0" w:hanging="0"/>
        <w:jc w:val="both"/>
        <w:rPr/>
      </w:pPr>
      <w:r>
        <w:rPr>
          <w:rFonts w:cs="Arial" w:ascii="Arial" w:hAnsi="Arial"/>
          <w:i/>
          <w:iCs/>
          <w:color w:val="000000"/>
          <w:sz w:val="20"/>
          <w:szCs w:val="20"/>
        </w:rPr>
        <w:t>Elemento de Despesa: 33903950;</w:t>
      </w:r>
    </w:p>
    <w:p>
      <w:pPr>
        <w:pStyle w:val="Normal"/>
        <w:widowControl w:val="false"/>
        <w:numPr>
          <w:ilvl w:val="0"/>
          <w:numId w:val="0"/>
        </w:numPr>
        <w:tabs>
          <w:tab w:val="clear" w:pos="708"/>
          <w:tab w:val="left" w:pos="735" w:leader="none"/>
          <w:tab w:val="left" w:pos="1140" w:leader="none"/>
        </w:tabs>
        <w:spacing w:lineRule="auto" w:line="276" w:before="0" w:after="0"/>
        <w:ind w:left="1210" w:right="0" w:hanging="0"/>
        <w:jc w:val="both"/>
        <w:rPr>
          <w:rFonts w:ascii="Arial" w:hAnsi="Arial" w:cs="Arial"/>
          <w:sz w:val="20"/>
          <w:szCs w:val="20"/>
        </w:rPr>
      </w:pPr>
      <w:r>
        <w:rPr>
          <w:rFonts w:eastAsia="Times New Roman" w:cs="Arial" w:ascii="Arial" w:hAnsi="Arial"/>
          <w:b w:val="false"/>
          <w:bCs w:val="false"/>
          <w:i/>
          <w:iCs/>
          <w:color w:val="000000"/>
          <w:kern w:val="2"/>
          <w:sz w:val="20"/>
          <w:szCs w:val="20"/>
          <w:u w:val="none"/>
          <w:lang w:val="pt-BR" w:eastAsia="zh-CN" w:bidi="ar-SA"/>
        </w:rPr>
        <w:t xml:space="preserve">Plano Interno: </w:t>
      </w:r>
      <w:hyperlink r:id="rId3">
        <w:r>
          <w:rPr>
            <w:rStyle w:val="LinkdaInternet"/>
            <w:rFonts w:eastAsia="Times New Roman" w:cs="Arial" w:ascii="Arial" w:hAnsi="Arial"/>
            <w:b w:val="false"/>
            <w:i/>
            <w:iCs/>
            <w:caps w:val="false"/>
            <w:smallCaps w:val="false"/>
            <w:strike w:val="false"/>
            <w:dstrike w:val="false"/>
            <w:color w:val="000000"/>
            <w:spacing w:val="0"/>
            <w:kern w:val="2"/>
            <w:sz w:val="20"/>
            <w:szCs w:val="20"/>
            <w:u w:val="none"/>
            <w:shd w:fill="FFFFFF" w:val="clear"/>
            <w:lang w:val="pt-BR" w:eastAsia="zh-CN" w:bidi="ar-SA"/>
          </w:rPr>
          <w:t>D8SAFCTCCON</w:t>
        </w:r>
      </w:hyperlink>
      <w:r>
        <w:rPr>
          <w:rFonts w:eastAsia="Times New Roman" w:cs="Arial" w:ascii="Arial" w:hAnsi="Arial"/>
          <w:i/>
          <w:iCs/>
          <w:color w:val="000000"/>
          <w:kern w:val="2"/>
          <w:sz w:val="20"/>
          <w:szCs w:val="20"/>
          <w:lang w:val="pt-BR" w:eastAsia="zh-CN" w:bidi="ar-SA"/>
        </w:rPr>
        <w:t xml:space="preserve"> </w:t>
      </w:r>
      <w:r>
        <w:rPr>
          <w:rFonts w:eastAsia="Times New Roman" w:cs="Arial" w:ascii="Arial" w:hAnsi="Arial"/>
          <w:b w:val="false"/>
          <w:bCs w:val="false"/>
          <w:i/>
          <w:iCs/>
          <w:color w:val="000000"/>
          <w:kern w:val="2"/>
          <w:sz w:val="20"/>
          <w:szCs w:val="20"/>
          <w:u w:val="none"/>
          <w:lang w:val="pt-BR" w:eastAsia="zh-CN" w:bidi="ar-SA"/>
        </w:rPr>
        <w:t>;</w:t>
      </w:r>
    </w:p>
    <w:p>
      <w:pPr>
        <w:pStyle w:val="Normal"/>
        <w:numPr>
          <w:ilvl w:val="1"/>
          <w:numId w:val="80"/>
        </w:numPr>
        <w:spacing w:lineRule="auto" w:line="276" w:before="120" w:after="120"/>
        <w:jc w:val="both"/>
        <w:rPr>
          <w:color w:val="000000"/>
        </w:rPr>
      </w:pPr>
      <w:r>
        <w:rPr>
          <w:rFonts w:cs="Arial" w:ascii="Arial" w:hAnsi="Arial"/>
          <w:i/>
          <w:iCs/>
          <w:color w:val="000000"/>
          <w:sz w:val="20"/>
          <w:szCs w:val="20"/>
        </w:rPr>
        <w:t>A dotação relativa aos exercícios financeiros subsequentes será indicada após aprovação da Lei Orçamentária respectiva e liberação dos créditos correspondentes, mediante apostilamento.</w:t>
      </w:r>
    </w:p>
    <w:p>
      <w:pPr>
        <w:pStyle w:val="Nivel01Titulo"/>
        <w:numPr>
          <w:ilvl w:val="0"/>
          <w:numId w:val="2"/>
        </w:numPr>
        <w:rPr>
          <w:rFonts w:cs="Arial"/>
        </w:rPr>
      </w:pPr>
      <w:r>
        <w:rPr>
          <w:rFonts w:cs="Arial"/>
        </w:rPr>
        <w:t>CLÁUSULA DÉCIMA QUARTA – DOS CASOS OMISSOS (art. 92, III)</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2"/>
        </w:numPr>
        <w:rPr>
          <w:rFonts w:cs="Arial"/>
        </w:rPr>
      </w:pPr>
      <w:r>
        <w:rPr>
          <w:rFonts w:cs="Arial"/>
        </w:rPr>
        <w:t>CLÁUSULA DÉCIMA QUINTA – ALTERAÇÕES</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obrigada a aceitar, nas mesmas condições contratuais, os acréscimos ou supressões que se fizerem necessários, até o limite de 25% (vinte e cinco por cento) do valor inicial atualizado do contrato.</w:t>
      </w:r>
    </w:p>
    <w:p>
      <w:pPr>
        <w:pStyle w:val="Normal"/>
        <w:numPr>
          <w:ilvl w:val="1"/>
          <w:numId w:val="2"/>
        </w:numPr>
        <w:spacing w:lineRule="auto" w:line="276" w:before="120" w:after="120"/>
        <w:jc w:val="both"/>
        <w:rPr>
          <w:rFonts w:ascii="Arial" w:hAnsi="Arial" w:cs="Arial"/>
          <w:sz w:val="20"/>
          <w:szCs w:val="20"/>
        </w:rPr>
      </w:pPr>
      <w:r>
        <w:rPr>
          <w:rFonts w:cs="Arial" w:ascii="Arial" w:hAnsi="Arial"/>
          <w:sz w:val="20"/>
          <w:szCs w:val="20"/>
        </w:rPr>
        <w:t>As supressões resultantes de acordo celebrado entre as partes contratantes poderão exceder o limite de 25% (vinte e cinco por cento) do valor inicial atualizado do termo de contrato.</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2"/>
        </w:numPr>
        <w:rPr>
          <w:rFonts w:cs="Arial"/>
        </w:rPr>
      </w:pPr>
      <w:r>
        <w:rPr>
          <w:rFonts w:cs="Arial"/>
        </w:rPr>
        <w:t>CLÁUSULA DÉCIMA SEXTA – PUBLICAÇÃO</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Incumbirá à CONTRATANTE providenciar a publicação deste instrumento nos termos e condições previstas na Lei nº 14.133/21.</w:t>
      </w:r>
    </w:p>
    <w:p>
      <w:pPr>
        <w:pStyle w:val="Nivel01Titulo"/>
        <w:numPr>
          <w:ilvl w:val="0"/>
          <w:numId w:val="2"/>
        </w:numPr>
        <w:rPr>
          <w:rFonts w:cs="Arial"/>
        </w:rPr>
      </w:pPr>
      <w:r>
        <w:rPr>
          <w:rFonts w:cs="Arial"/>
        </w:rPr>
        <w:t>CLÁUSULA DÉCIMA SÉTIMA – FORO (art. 92, §1º)</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É eleito o Foro da Justiça Federal em </w:t>
      </w:r>
      <w:r>
        <w:rPr>
          <w:rFonts w:cs="Arial" w:ascii="Arial" w:hAnsi="Arial"/>
          <w:color w:val="FF0000"/>
          <w:sz w:val="20"/>
          <w:szCs w:val="20"/>
        </w:rPr>
        <w:t>......</w:t>
      </w:r>
      <w:r>
        <w:rPr>
          <w:rFonts w:cs="Arial" w:ascii="Arial" w:hAnsi="Arial"/>
          <w:sz w:val="20"/>
          <w:szCs w:val="20"/>
        </w:rPr>
        <w:t>, Seção Judiciária de</w:t>
      </w:r>
      <w:r>
        <w:rPr>
          <w:rFonts w:cs="Arial" w:ascii="Arial" w:hAnsi="Arial"/>
          <w:color w:val="FF0000"/>
          <w:sz w:val="20"/>
          <w:szCs w:val="20"/>
        </w:rPr>
        <w:t>......</w:t>
      </w:r>
      <w:r>
        <w:rPr>
          <w:rFonts w:cs="Arial" w:ascii="Arial" w:hAnsi="Arial"/>
          <w:sz w:val="20"/>
          <w:szCs w:val="20"/>
        </w:rPr>
        <w:t xml:space="preserve"> para dirimir os litígios que decorrerem da execução deste Termo de Contrato que não possam ser compostos pela conciliação, conforme art. 92, §1º da Lei nº 14.133/21. </w:t>
      </w:r>
    </w:p>
    <w:p>
      <w:pPr>
        <w:pStyle w:val="Normal"/>
        <w:rPr>
          <w:rFonts w:ascii="Arial" w:hAnsi="Arial" w:cs="Arial"/>
          <w:sz w:val="20"/>
          <w:szCs w:val="20"/>
          <w:lang w:eastAsia="pt-BR"/>
        </w:rPr>
      </w:pPr>
      <w:r>
        <w:rPr>
          <w:rFonts w:cs="Arial" w:ascii="Arial" w:hAnsi="Arial"/>
          <w:sz w:val="20"/>
          <w:szCs w:val="20"/>
          <w:lang w:eastAsia="pt-BR"/>
        </w:rPr>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spacing w:lineRule="auto" w:line="360" w:before="0" w:after="120"/>
        <w:ind w:right="-15" w:hanging="0"/>
        <w:jc w:val="both"/>
        <w:rPr>
          <w:rFonts w:ascii="Arial" w:hAnsi="Arial" w:cs="Arial"/>
          <w:sz w:val="20"/>
          <w:szCs w:val="20"/>
        </w:rPr>
      </w:pPr>
      <w:r>
        <w:rPr>
          <w:rFonts w:cs="Arial" w:ascii="Arial" w:hAnsi="Arial"/>
          <w:sz w:val="20"/>
          <w:szCs w:val="20"/>
        </w:rPr>
        <w:t>...........................................,  .......... de.......................................... de 20.....</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Representante legal do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before="0" w:after="120"/>
        <w:jc w:val="both"/>
        <w:rPr>
          <w:rFonts w:ascii="Arial" w:hAnsi="Arial" w:cs="Arial"/>
          <w:i/>
          <w:i/>
          <w:iCs/>
          <w:color w:val="FF0000"/>
          <w:sz w:val="20"/>
          <w:szCs w:val="20"/>
        </w:rPr>
      </w:pPr>
      <w:r>
        <w:rPr>
          <w:rFonts w:cs="Arial" w:ascii="Arial" w:hAnsi="Arial"/>
          <w:i/>
          <w:iCs/>
          <w:color w:val="FF0000"/>
          <w:sz w:val="20"/>
          <w:szCs w:val="20"/>
        </w:rPr>
        <w:t>TESTEMUNHAS:</w:t>
      </w:r>
    </w:p>
    <w:p>
      <w:pPr>
        <w:pStyle w:val="Normal"/>
        <w:rPr>
          <w:rFonts w:ascii="Arial" w:hAnsi="Arial" w:cs="Arial"/>
          <w:i/>
          <w:i/>
          <w:iCs/>
          <w:color w:val="FF0000"/>
          <w:sz w:val="20"/>
          <w:szCs w:val="20"/>
        </w:rPr>
      </w:pPr>
      <w:r>
        <w:rPr>
          <w:rFonts w:cs="Arial" w:ascii="Arial" w:hAnsi="Arial"/>
          <w:i/>
          <w:iCs/>
          <w:color w:val="FF0000"/>
          <w:sz w:val="20"/>
          <w:szCs w:val="20"/>
        </w:rPr>
        <w:t>1-</w:t>
      </w:r>
    </w:p>
    <w:p>
      <w:pPr>
        <w:pStyle w:val="Normal"/>
        <w:rPr>
          <w:rFonts w:ascii="Arial" w:hAnsi="Arial" w:cs="Arial"/>
          <w:i/>
          <w:i/>
          <w:iCs/>
          <w:color w:val="FF0000"/>
          <w:sz w:val="20"/>
          <w:szCs w:val="20"/>
        </w:rPr>
      </w:pPr>
      <w:r>
        <w:rPr>
          <w:rFonts w:cs="Arial" w:ascii="Arial" w:hAnsi="Arial"/>
          <w:i/>
          <w:iCs/>
          <w:color w:val="FF0000"/>
          <w:sz w:val="20"/>
          <w:szCs w:val="20"/>
        </w:rPr>
        <w:t xml:space="preserve">2- </w:t>
      </w:r>
    </w:p>
    <w:p>
      <w:pPr>
        <w:pStyle w:val="Normal"/>
        <w:spacing w:before="0" w:after="120"/>
        <w:jc w:val="center"/>
        <w:rPr>
          <w:rFonts w:ascii="Arial" w:hAnsi="Arial" w:cs="Arial"/>
          <w:sz w:val="20"/>
          <w:szCs w:val="20"/>
        </w:rPr>
      </w:pPr>
      <w:r>
        <w:rPr>
          <w:rFonts w:cs="Arial" w:ascii="Arial" w:hAnsi="Arial"/>
          <w:sz w:val="20"/>
          <w:szCs w:val="20"/>
        </w:rPr>
      </w:r>
    </w:p>
    <w:p>
      <w:pPr>
        <w:pStyle w:val="Normal"/>
        <w:spacing w:before="0" w:after="160"/>
        <w:rPr>
          <w:rFonts w:ascii="Arial" w:hAnsi="Arial" w:cs="Arial"/>
          <w:sz w:val="20"/>
          <w:szCs w:val="20"/>
          <w:lang w:eastAsia="pt-BR"/>
        </w:rPr>
      </w:pPr>
      <w:r>
        <w:rPr/>
      </w:r>
    </w:p>
    <w:sectPr>
      <w:footerReference w:type="default" r:id="rId4"/>
      <w:type w:val="nextPage"/>
      <w:pgSz w:w="11906" w:h="16838"/>
      <w:pgMar w:left="1701" w:right="1701"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Minuta Contratual – Lei nº 14.133/21 – Contratação Direta – Serviços sem Dedicação Exclusiva de Mão-de-Obra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
    <w:lvl w:ilvl="0">
      <w:start w:val="1"/>
      <w:numFmt w:val="decimal"/>
      <w:lvlText w:val="%1."/>
      <w:lvlJc w:val="left"/>
      <w:pPr>
        <w:tabs>
          <w:tab w:val="num" w:pos="0"/>
        </w:tabs>
        <w:ind w:left="502" w:hanging="360"/>
      </w:pPr>
      <w:rPr>
        <w:dstrike w:val="false"/>
        <w:strike w:val="false"/>
        <w:i w:val="false"/>
        <w:u w:val="none"/>
        <w:b/>
        <w:effect w:val="none"/>
      </w:rPr>
    </w:lvl>
    <w:lvl w:ilvl="1">
      <w:start w:val="1"/>
      <w:numFmt w:val="decimal"/>
      <w:lvlText w:val="%1.%2."/>
      <w:lvlJc w:val="left"/>
      <w:pPr>
        <w:tabs>
          <w:tab w:val="num" w:pos="0"/>
        </w:tabs>
        <w:ind w:left="858" w:hanging="432"/>
      </w:pPr>
      <w:rPr>
        <w:dstrike w:val="false"/>
        <w:strike w:val="false"/>
        <w:u w:val="none"/>
        <w:b w:val="false"/>
        <w:effect w:val="none"/>
      </w:rPr>
    </w:lvl>
    <w:lvl w:ilvl="2">
      <w:start w:val="1"/>
      <w:numFmt w:val="decimal"/>
      <w:lvlText w:val="%1.%2.%3."/>
      <w:lvlJc w:val="left"/>
      <w:pPr>
        <w:tabs>
          <w:tab w:val="num" w:pos="0"/>
        </w:tabs>
        <w:ind w:left="1224" w:hanging="504"/>
      </w:pPr>
      <w:rPr>
        <w:dstrike w:val="false"/>
        <w:strike w:val="false"/>
        <w:i w:val="false"/>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2"/>
    <w:lvlOverride w:ilvl="2">
      <w:startOverride w:val="1"/>
    </w:lvlOverride>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32"/>
    <w:lvlOverride w:ilvl="2">
      <w:startOverride w:val="1"/>
    </w:lvlOverride>
  </w:num>
  <w:num w:numId="60">
    <w:abstractNumId w:val="32"/>
  </w:num>
  <w:num w:numId="61">
    <w:abstractNumId w:val="32"/>
  </w:num>
  <w:num w:numId="62">
    <w:abstractNumId w:val="32"/>
  </w:num>
  <w:num w:numId="63">
    <w:abstractNumId w:val="32"/>
  </w:num>
  <w:num w:numId="64">
    <w:abstractNumId w:val="32"/>
  </w:num>
  <w:num w:numId="65">
    <w:abstractNumId w:val="32"/>
  </w:num>
  <w:num w:numId="66">
    <w:abstractNumId w:val="32"/>
  </w:num>
  <w:num w:numId="67">
    <w:abstractNumId w:val="32"/>
  </w:num>
  <w:num w:numId="68">
    <w:abstractNumId w:val="32"/>
  </w:num>
  <w:num w:numId="69">
    <w:abstractNumId w:val="32"/>
  </w:num>
  <w:num w:numId="70">
    <w:abstractNumId w:val="32"/>
  </w:num>
  <w:num w:numId="71">
    <w:abstractNumId w:val="33"/>
    <w:lvlOverride w:ilvl="2">
      <w:startOverride w:val="1"/>
    </w:lvlOverride>
  </w:num>
  <w:num w:numId="72">
    <w:abstractNumId w:val="33"/>
  </w:num>
  <w:num w:numId="73">
    <w:abstractNumId w:val="33"/>
  </w:num>
  <w:num w:numId="74">
    <w:abstractNumId w:val="33"/>
  </w:num>
  <w:num w:numId="75">
    <w:abstractNumId w:val="33"/>
  </w:num>
  <w:num w:numId="76">
    <w:abstractNumId w:val="33"/>
  </w:num>
  <w:num w:numId="77">
    <w:abstractNumId w:val="33"/>
  </w:num>
  <w:num w:numId="78">
    <w:abstractNumId w:val="33"/>
  </w:num>
  <w:num w:numId="79">
    <w:abstractNumId w:val="2"/>
  </w:num>
  <w:num w:numId="80">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397ef2"/>
    <w:rPr/>
  </w:style>
  <w:style w:type="character" w:styleId="RodapChar" w:customStyle="1">
    <w:name w:val="Rodapé Char"/>
    <w:basedOn w:val="DefaultParagraphFont"/>
    <w:link w:val="Rodap"/>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basedOn w:val="Ttulo1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link w:val="Ttulo1"/>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Textodecomentrio"/>
    <w:uiPriority w:val="99"/>
    <w:qFormat/>
    <w:rsid w:val="006e7af1"/>
    <w:rPr>
      <w:sz w:val="20"/>
      <w:szCs w:val="20"/>
    </w:rPr>
  </w:style>
  <w:style w:type="character" w:styleId="CitaoChar" w:customStyle="1">
    <w:name w:val="Citação Char"/>
    <w:basedOn w:val="DefaultParagraphFont"/>
    <w:link w:val="Citao"/>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ssuntodocomentrio"/>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Textodebalo"/>
    <w:uiPriority w:val="99"/>
    <w:semiHidden/>
    <w:qFormat/>
    <w:rsid w:val="007d1c84"/>
    <w:rPr>
      <w:rFonts w:ascii="Segoe UI" w:hAnsi="Segoe UI" w:cs="Segoe UI"/>
      <w:sz w:val="18"/>
      <w:szCs w:val="18"/>
    </w:rPr>
  </w:style>
  <w:style w:type="character" w:styleId="Nvel2OpcionalChar" w:customStyle="1">
    <w:name w:val="Nível 2 Opcional Char"/>
    <w:basedOn w:val="DefaultParagraphFont"/>
    <w:link w:val="Nvel2Opcional"/>
    <w:qFormat/>
    <w:locked/>
    <w:rsid w:val="00921e42"/>
    <w:rPr>
      <w:rFonts w:ascii="Arial" w:hAnsi="Arial" w:cs="Arial"/>
      <w:i/>
      <w:color w:val="FF0000"/>
    </w:rPr>
  </w:style>
  <w:style w:type="character" w:styleId="Nvel3OpcionalChar" w:customStyle="1">
    <w:name w:val="Nível 3 Opcional Char"/>
    <w:basedOn w:val="DefaultParagraphFont"/>
    <w:link w:val="Nvel3Opcional"/>
    <w:qFormat/>
    <w:locked/>
    <w:rsid w:val="00921e42"/>
    <w:rPr>
      <w:rFonts w:ascii="Arial" w:hAnsi="Arial" w:cs="Arial"/>
      <w:i/>
      <w:iCs/>
      <w:color w:val="FF0000"/>
    </w:rPr>
  </w:style>
  <w:style w:type="character" w:styleId="Fontepargpadro">
    <w:name w:val="Fonte parág. padrão"/>
    <w:qFormat/>
    <w:rPr/>
  </w:style>
  <w:style w:type="character" w:styleId="Linkdainternetvisitado">
    <w:name w:val="Link da internet visitado"/>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397ef2"/>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lear" w:pos="708"/>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clear" w:pos="708"/>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fals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false"/>
      <w:pBdr>
        <w:top w:val="single" w:sz="4" w:space="1" w:color="1F497D"/>
        <w:left w:val="single" w:sz="4" w:space="4" w:color="1F497D"/>
        <w:bottom w:val="single" w:sz="4" w:space="1" w:color="1F497D"/>
        <w:right w:val="single" w:sz="4" w:space="4" w:color="1F497D"/>
      </w:pBdr>
      <w:shd w:val="clear" w:fill="FFFFCC"/>
      <w:tabs>
        <w:tab w:val="clear" w:pos="708"/>
      </w:tabs>
      <w:suppressAutoHyphens w:val="false"/>
      <w:overflowPunct w:val="tru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numPr>
        <w:ilvl w:val="0"/>
        <w:numId w:val="4"/>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192fa4"/>
    <w:pPr>
      <w:tabs>
        <w:tab w:val="clear" w:pos="708"/>
        <w:tab w:val="left" w:pos="360" w:leader="none"/>
      </w:tabs>
      <w:ind w:left="644" w:hanging="432"/>
    </w:pPr>
    <w:rPr>
      <w:rFonts w:cs="Arial"/>
      <w:b/>
    </w:rPr>
  </w:style>
  <w:style w:type="paragraph" w:styleId="Nivel3" w:customStyle="1">
    <w:name w:val="Nivel 3"/>
    <w:basedOn w:val="Nivel2"/>
    <w:qFormat/>
    <w:rsid w:val="00192fa4"/>
    <w:pPr>
      <w:tabs>
        <w:tab w:val="clear" w:pos="708"/>
        <w:tab w:val="left" w:pos="360" w:leader="none"/>
      </w:tabs>
      <w:ind w:left="1922" w:hanging="0"/>
    </w:pPr>
    <w:rPr>
      <w:rFonts w:cs="Arial"/>
      <w:color w:val="000000"/>
    </w:rPr>
  </w:style>
  <w:style w:type="paragraph" w:styleId="Nivel4" w:customStyle="1">
    <w:name w:val="Nivel 4"/>
    <w:basedOn w:val="Nivel3"/>
    <w:qFormat/>
    <w:rsid w:val="00192fa4"/>
    <w:pPr>
      <w:ind w:left="2491" w:hanging="0"/>
    </w:pPr>
    <w:rPr>
      <w:color w:val="auto"/>
    </w:rPr>
  </w:style>
  <w:style w:type="paragraph" w:styleId="Nivel5" w:customStyle="1">
    <w:name w:val="Nivel 5"/>
    <w:basedOn w:val="Nivel4"/>
    <w:qFormat/>
    <w:rsid w:val="00192fa4"/>
    <w:pPr>
      <w:ind w:left="3485" w:hanging="0"/>
    </w:pPr>
    <w:rPr/>
  </w:style>
  <w:style w:type="paragraph" w:styleId="Annotationsubject">
    <w:name w:val="annotation subject"/>
    <w:basedOn w:val="Annotationtext"/>
    <w:next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SombreamentoMdio1nfase31" w:customStyle="1">
    <w:name w:val="Sombreamento Médio 1 - Ênfase 31"/>
    <w:basedOn w:val="Normal"/>
    <w:next w:val="Normal"/>
    <w:qFormat/>
    <w:rsid w:val="00921e42"/>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Nvel2Opcional" w:customStyle="1">
    <w:name w:val="Nível 2 Opcional"/>
    <w:basedOn w:val="Nivel2"/>
    <w:link w:val="Nvel2OpcionalChar"/>
    <w:qFormat/>
    <w:rsid w:val="00921e42"/>
    <w:pPr>
      <w:numPr>
        <w:ilvl w:val="0"/>
        <w:numId w:val="1"/>
      </w:numPr>
      <w:ind w:left="716" w:hanging="432"/>
    </w:pPr>
    <w:rPr>
      <w:rFonts w:ascii="Arial" w:hAnsi="Arial" w:eastAsia="Calibri" w:cs="Arial" w:eastAsiaTheme="minorHAnsi"/>
      <w:i/>
      <w:color w:val="FF0000"/>
      <w:sz w:val="22"/>
      <w:szCs w:val="22"/>
      <w:lang w:eastAsia="en-US"/>
    </w:rPr>
  </w:style>
  <w:style w:type="paragraph" w:styleId="Nvel3Opcional" w:customStyle="1">
    <w:name w:val="Nível 3 Opcional"/>
    <w:basedOn w:val="Nivel3"/>
    <w:link w:val="Nvel3OpcionalChar"/>
    <w:qFormat/>
    <w:rsid w:val="00921e42"/>
    <w:pPr>
      <w:numPr>
        <w:ilvl w:val="0"/>
        <w:numId w:val="1"/>
      </w:numPr>
      <w:ind w:left="567" w:hanging="0"/>
    </w:pPr>
    <w:rPr>
      <w:rFonts w:ascii="Arial" w:hAnsi="Arial" w:eastAsia="Calibri" w:eastAsiaTheme="minorHAnsi"/>
      <w:i/>
      <w:iCs/>
      <w:color w:val="FF0000"/>
      <w:sz w:val="22"/>
      <w:szCs w:val="22"/>
      <w:lang w:eastAsia="en-US"/>
    </w:rPr>
  </w:style>
  <w:style w:type="paragraph" w:styleId="Revision">
    <w:name w:val="Revision"/>
    <w:uiPriority w:val="99"/>
    <w:semiHidden/>
    <w:qFormat/>
    <w:rsid w:val="00d031d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Contedodatabela">
    <w:name w:val="Conteúdo da tabela"/>
    <w:basedOn w:val="Normal"/>
    <w:qFormat/>
    <w:pPr>
      <w:suppressLineNumbers/>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sag.eb.mil.br/php/documentos.php"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LibreOffice/7.1.0.3$Windows_X86_64 LibreOffice_project/f6099ecf3d29644b5008cc8f48f42f4a40986e4c</Application>
  <AppVersion>15.0000</AppVersion>
  <Pages>12</Pages>
  <Words>4549</Words>
  <Characters>25925</Characters>
  <CharactersWithSpaces>30165</CharactersWithSpaces>
  <Paragraphs>208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2022-07-14T22:11:00Z</dcterms:created>
  <dc:creator>Hugo Sales</dc:creator>
  <dc:description/>
  <dc:language>pt-BR</dc:language>
  <cp:lastModifiedBy/>
  <dcterms:modified xsi:type="dcterms:W3CDTF">2022-12-12T14:34:13Z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